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5CEA" w14:textId="568AD755" w:rsidR="0001475B" w:rsidRPr="00CE1C98" w:rsidRDefault="007A3AA5" w:rsidP="004F5CD0">
      <w:pPr>
        <w:spacing w:line="276" w:lineRule="auto"/>
        <w:contextualSpacing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Del</w:t>
      </w:r>
      <w:r w:rsidR="00C7572D">
        <w:rPr>
          <w:rFonts w:ascii="Arial" w:eastAsia="Calibri" w:hAnsi="Arial" w:cs="Arial"/>
          <w:b/>
          <w:sz w:val="28"/>
          <w:szCs w:val="28"/>
          <w:lang w:eastAsia="en-US"/>
        </w:rPr>
        <w:t>rapport Småföretag</w:t>
      </w:r>
      <w:r w:rsidR="004D1D9E">
        <w:rPr>
          <w:rFonts w:ascii="Arial" w:eastAsia="Calibri" w:hAnsi="Arial" w:cs="Arial"/>
          <w:b/>
          <w:sz w:val="28"/>
          <w:szCs w:val="28"/>
          <w:lang w:eastAsia="en-US"/>
        </w:rPr>
        <w:t>s</w:t>
      </w:r>
      <w:r w:rsidR="00C7572D">
        <w:rPr>
          <w:rFonts w:ascii="Arial" w:eastAsia="Calibri" w:hAnsi="Arial" w:cs="Arial"/>
          <w:b/>
          <w:sz w:val="28"/>
          <w:szCs w:val="28"/>
          <w:lang w:eastAsia="en-US"/>
        </w:rPr>
        <w:t>barometern 2020</w:t>
      </w:r>
    </w:p>
    <w:p w14:paraId="5D33241E" w14:textId="4AD9E89E" w:rsidR="00AF3A9F" w:rsidRDefault="00612DC7" w:rsidP="00E402C0">
      <w:pPr>
        <w:spacing w:after="120" w:line="276" w:lineRule="auto"/>
        <w:contextualSpacing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Landets småföretagare </w:t>
      </w:r>
      <w:r w:rsidR="00D05307">
        <w:rPr>
          <w:rFonts w:ascii="Arial" w:eastAsia="Calibri" w:hAnsi="Arial" w:cs="Arial"/>
          <w:b/>
          <w:sz w:val="21"/>
          <w:szCs w:val="21"/>
          <w:lang w:eastAsia="en-US"/>
        </w:rPr>
        <w:t>är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pessi</w:t>
      </w:r>
      <w:r w:rsidR="00D05307">
        <w:rPr>
          <w:rFonts w:ascii="Arial" w:eastAsia="Calibri" w:hAnsi="Arial" w:cs="Arial"/>
          <w:b/>
          <w:sz w:val="21"/>
          <w:szCs w:val="21"/>
          <w:lang w:eastAsia="en-US"/>
        </w:rPr>
        <w:t xml:space="preserve">mistiska 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inför det kommande året. Deras prognoser för företagets sysselsättning, omsättning och orderingång är en kraftig nedgång inom alla tre områdena. Det visar </w:t>
      </w:r>
      <w:r w:rsidR="007A3AA5">
        <w:rPr>
          <w:rFonts w:ascii="Arial" w:eastAsia="Calibri" w:hAnsi="Arial" w:cs="Arial"/>
          <w:b/>
          <w:sz w:val="21"/>
          <w:szCs w:val="21"/>
          <w:lang w:eastAsia="en-US"/>
        </w:rPr>
        <w:t>del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>rapporten av Småföretagsbarometern 2020 som tas fram på uppdrag av Företagarna, Swedbank och Sparbankerna</w:t>
      </w:r>
      <w:r w:rsidR="00DB0744">
        <w:rPr>
          <w:rFonts w:ascii="Arial" w:eastAsia="Calibri" w:hAnsi="Arial" w:cs="Arial"/>
          <w:b/>
          <w:sz w:val="21"/>
          <w:szCs w:val="21"/>
          <w:lang w:eastAsia="en-US"/>
        </w:rPr>
        <w:t>s Riksförbund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>.</w:t>
      </w:r>
    </w:p>
    <w:p w14:paraId="3A2B9C51" w14:textId="77777777" w:rsidR="00E2102A" w:rsidRDefault="00E2102A" w:rsidP="002F544B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</w:p>
    <w:p w14:paraId="69F53E5F" w14:textId="0526CEF5" w:rsidR="002F544B" w:rsidRDefault="002F544B" w:rsidP="002F544B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  <w:r w:rsidRPr="002F544B">
        <w:rPr>
          <w:rFonts w:ascii="Arial" w:hAnsi="Arial" w:cs="Arial"/>
          <w:noProof/>
          <w:sz w:val="21"/>
          <w:szCs w:val="21"/>
        </w:rPr>
        <w:t xml:space="preserve">Småföretagsbarometern presenteras </w:t>
      </w:r>
      <w:r w:rsidR="00612DC7">
        <w:rPr>
          <w:rFonts w:ascii="Arial" w:hAnsi="Arial" w:cs="Arial"/>
          <w:noProof/>
          <w:sz w:val="21"/>
          <w:szCs w:val="21"/>
        </w:rPr>
        <w:t xml:space="preserve">vanligtvis </w:t>
      </w:r>
      <w:r w:rsidRPr="002F544B">
        <w:rPr>
          <w:rFonts w:ascii="Arial" w:hAnsi="Arial" w:cs="Arial"/>
          <w:noProof/>
          <w:sz w:val="21"/>
          <w:szCs w:val="21"/>
        </w:rPr>
        <w:t>en gång om året</w:t>
      </w:r>
      <w:r w:rsidR="006120BE">
        <w:rPr>
          <w:rFonts w:ascii="Arial" w:hAnsi="Arial" w:cs="Arial"/>
          <w:noProof/>
          <w:sz w:val="21"/>
          <w:szCs w:val="21"/>
        </w:rPr>
        <w:t>.</w:t>
      </w:r>
      <w:r w:rsidRPr="002F544B">
        <w:rPr>
          <w:rFonts w:ascii="Arial" w:hAnsi="Arial" w:cs="Arial"/>
          <w:noProof/>
          <w:sz w:val="21"/>
          <w:szCs w:val="21"/>
        </w:rPr>
        <w:t xml:space="preserve"> </w:t>
      </w:r>
      <w:r w:rsidR="006120BE">
        <w:rPr>
          <w:rFonts w:ascii="Arial" w:hAnsi="Arial" w:cs="Arial"/>
          <w:noProof/>
          <w:sz w:val="21"/>
          <w:szCs w:val="21"/>
        </w:rPr>
        <w:t>M</w:t>
      </w:r>
      <w:r w:rsidRPr="002F544B">
        <w:rPr>
          <w:rFonts w:ascii="Arial" w:hAnsi="Arial" w:cs="Arial"/>
          <w:noProof/>
          <w:sz w:val="21"/>
          <w:szCs w:val="21"/>
        </w:rPr>
        <w:t xml:space="preserve">en med anledning av </w:t>
      </w:r>
      <w:r w:rsidR="004552E3">
        <w:rPr>
          <w:rFonts w:ascii="Arial" w:hAnsi="Arial" w:cs="Arial"/>
          <w:noProof/>
          <w:sz w:val="21"/>
          <w:szCs w:val="21"/>
        </w:rPr>
        <w:t>att</w:t>
      </w:r>
      <w:r w:rsidR="006120BE">
        <w:rPr>
          <w:rFonts w:ascii="Arial" w:hAnsi="Arial" w:cs="Arial"/>
          <w:noProof/>
          <w:sz w:val="21"/>
          <w:szCs w:val="21"/>
        </w:rPr>
        <w:t xml:space="preserve"> många företagare är extra utsatta och påverkade av </w:t>
      </w:r>
      <w:r w:rsidR="00376289">
        <w:rPr>
          <w:rFonts w:ascii="Arial" w:hAnsi="Arial" w:cs="Arial"/>
          <w:noProof/>
          <w:sz w:val="21"/>
          <w:szCs w:val="21"/>
        </w:rPr>
        <w:t>c</w:t>
      </w:r>
      <w:r w:rsidRPr="002F544B">
        <w:rPr>
          <w:rFonts w:ascii="Arial" w:hAnsi="Arial" w:cs="Arial"/>
          <w:noProof/>
          <w:sz w:val="21"/>
          <w:szCs w:val="21"/>
        </w:rPr>
        <w:t>oronapandemin släpp</w:t>
      </w:r>
      <w:r w:rsidR="006120BE">
        <w:rPr>
          <w:rFonts w:ascii="Arial" w:hAnsi="Arial" w:cs="Arial"/>
          <w:noProof/>
          <w:sz w:val="21"/>
          <w:szCs w:val="21"/>
        </w:rPr>
        <w:t xml:space="preserve">s nu en delrapport för att kunna ge en </w:t>
      </w:r>
      <w:r w:rsidRPr="002F544B">
        <w:rPr>
          <w:rFonts w:ascii="Arial" w:hAnsi="Arial" w:cs="Arial"/>
          <w:noProof/>
          <w:sz w:val="21"/>
          <w:szCs w:val="21"/>
        </w:rPr>
        <w:t>bild av hur Sveriges småföretag</w:t>
      </w:r>
      <w:r w:rsidR="006120BE">
        <w:rPr>
          <w:rFonts w:ascii="Arial" w:hAnsi="Arial" w:cs="Arial"/>
          <w:noProof/>
          <w:sz w:val="21"/>
          <w:szCs w:val="21"/>
        </w:rPr>
        <w:t>are själva upplever den</w:t>
      </w:r>
      <w:r w:rsidRPr="002F544B">
        <w:rPr>
          <w:rFonts w:ascii="Arial" w:hAnsi="Arial" w:cs="Arial"/>
          <w:noProof/>
          <w:sz w:val="21"/>
          <w:szCs w:val="21"/>
        </w:rPr>
        <w:t xml:space="preserve"> rådande kris</w:t>
      </w:r>
      <w:r w:rsidR="006120BE">
        <w:rPr>
          <w:rFonts w:ascii="Arial" w:hAnsi="Arial" w:cs="Arial"/>
          <w:noProof/>
          <w:sz w:val="21"/>
          <w:szCs w:val="21"/>
        </w:rPr>
        <w:t xml:space="preserve">en </w:t>
      </w:r>
      <w:r w:rsidR="004552E3">
        <w:rPr>
          <w:rFonts w:ascii="Arial" w:hAnsi="Arial" w:cs="Arial"/>
          <w:noProof/>
          <w:sz w:val="21"/>
          <w:szCs w:val="21"/>
        </w:rPr>
        <w:t>och hur de ser på utvecklingen det närmaste året</w:t>
      </w:r>
      <w:r w:rsidRPr="002F544B">
        <w:rPr>
          <w:rFonts w:ascii="Arial" w:hAnsi="Arial" w:cs="Arial"/>
          <w:noProof/>
          <w:sz w:val="21"/>
          <w:szCs w:val="21"/>
        </w:rPr>
        <w:t xml:space="preserve">. </w:t>
      </w:r>
      <w:r w:rsidR="0069437A">
        <w:rPr>
          <w:rFonts w:ascii="Arial" w:hAnsi="Arial" w:cs="Arial"/>
          <w:noProof/>
          <w:sz w:val="21"/>
          <w:szCs w:val="21"/>
        </w:rPr>
        <w:t>Delrapport</w:t>
      </w:r>
      <w:r w:rsidR="00C163F9">
        <w:rPr>
          <w:rFonts w:ascii="Arial" w:hAnsi="Arial" w:cs="Arial"/>
          <w:noProof/>
          <w:sz w:val="21"/>
          <w:szCs w:val="21"/>
        </w:rPr>
        <w:t>en</w:t>
      </w:r>
      <w:r w:rsidR="0069437A">
        <w:rPr>
          <w:rFonts w:ascii="Arial" w:hAnsi="Arial" w:cs="Arial"/>
          <w:noProof/>
          <w:sz w:val="21"/>
          <w:szCs w:val="21"/>
        </w:rPr>
        <w:t xml:space="preserve"> bygger på </w:t>
      </w:r>
      <w:r w:rsidR="00C163F9">
        <w:rPr>
          <w:rFonts w:ascii="Arial" w:hAnsi="Arial" w:cs="Arial"/>
          <w:noProof/>
          <w:sz w:val="21"/>
          <w:szCs w:val="21"/>
        </w:rPr>
        <w:t>telefon</w:t>
      </w:r>
      <w:r w:rsidR="0069437A" w:rsidRPr="0069437A">
        <w:rPr>
          <w:rFonts w:ascii="Arial" w:hAnsi="Arial" w:cs="Arial"/>
          <w:noProof/>
          <w:sz w:val="21"/>
          <w:szCs w:val="21"/>
        </w:rPr>
        <w:t xml:space="preserve">intervjuer med 2 222 företagare som Novus </w:t>
      </w:r>
      <w:r w:rsidR="00C163F9">
        <w:rPr>
          <w:rFonts w:ascii="Arial" w:hAnsi="Arial" w:cs="Arial"/>
          <w:noProof/>
          <w:sz w:val="21"/>
          <w:szCs w:val="21"/>
        </w:rPr>
        <w:t>genomförde under</w:t>
      </w:r>
      <w:r w:rsidR="0069437A" w:rsidRPr="0069437A">
        <w:rPr>
          <w:rFonts w:ascii="Arial" w:hAnsi="Arial" w:cs="Arial"/>
          <w:noProof/>
          <w:sz w:val="21"/>
          <w:szCs w:val="21"/>
        </w:rPr>
        <w:t xml:space="preserve"> </w:t>
      </w:r>
      <w:r w:rsidR="00EE3C9C">
        <w:rPr>
          <w:rFonts w:ascii="Arial" w:hAnsi="Arial" w:cs="Arial"/>
          <w:noProof/>
          <w:sz w:val="21"/>
          <w:szCs w:val="21"/>
        </w:rPr>
        <w:t xml:space="preserve">perioden </w:t>
      </w:r>
      <w:bookmarkStart w:id="0" w:name="_GoBack"/>
      <w:bookmarkEnd w:id="0"/>
      <w:r w:rsidR="0069437A" w:rsidRPr="0069437A">
        <w:rPr>
          <w:rFonts w:ascii="Arial" w:hAnsi="Arial" w:cs="Arial"/>
          <w:noProof/>
          <w:sz w:val="21"/>
          <w:szCs w:val="21"/>
        </w:rPr>
        <w:t>3</w:t>
      </w:r>
      <w:r w:rsidR="00E2102A">
        <w:rPr>
          <w:rFonts w:ascii="Arial" w:hAnsi="Arial" w:cs="Arial"/>
          <w:noProof/>
          <w:sz w:val="21"/>
          <w:szCs w:val="21"/>
        </w:rPr>
        <w:t xml:space="preserve"> </w:t>
      </w:r>
      <w:r w:rsidR="0069437A" w:rsidRPr="0069437A">
        <w:rPr>
          <w:rFonts w:ascii="Arial" w:hAnsi="Arial" w:cs="Arial"/>
          <w:noProof/>
          <w:sz w:val="21"/>
          <w:szCs w:val="21"/>
        </w:rPr>
        <w:t>-</w:t>
      </w:r>
      <w:r w:rsidR="00E2102A">
        <w:rPr>
          <w:rFonts w:ascii="Arial" w:hAnsi="Arial" w:cs="Arial"/>
          <w:noProof/>
          <w:sz w:val="21"/>
          <w:szCs w:val="21"/>
        </w:rPr>
        <w:t xml:space="preserve"> </w:t>
      </w:r>
      <w:r w:rsidR="0069437A" w:rsidRPr="0069437A">
        <w:rPr>
          <w:rFonts w:ascii="Arial" w:hAnsi="Arial" w:cs="Arial"/>
          <w:noProof/>
          <w:sz w:val="21"/>
          <w:szCs w:val="21"/>
        </w:rPr>
        <w:t xml:space="preserve">27 mars 2020.  </w:t>
      </w:r>
    </w:p>
    <w:p w14:paraId="6C45A2FD" w14:textId="468AB401" w:rsidR="00DC3D3E" w:rsidRDefault="00DC3D3E" w:rsidP="002F544B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</w:p>
    <w:p w14:paraId="4565EE21" w14:textId="2DFADF3A" w:rsidR="0069437A" w:rsidRDefault="00C7572D" w:rsidP="002F544B">
      <w:pPr>
        <w:spacing w:after="120" w:line="276" w:lineRule="auto"/>
        <w:contextualSpacing/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I </w:t>
      </w:r>
      <w:r w:rsidR="0069437A">
        <w:rPr>
          <w:rFonts w:ascii="Arial" w:hAnsi="Arial" w:cs="Arial"/>
          <w:noProof/>
          <w:sz w:val="21"/>
          <w:szCs w:val="21"/>
        </w:rPr>
        <w:t>delr</w:t>
      </w:r>
      <w:r>
        <w:rPr>
          <w:rFonts w:ascii="Arial" w:hAnsi="Arial" w:cs="Arial"/>
          <w:noProof/>
          <w:sz w:val="21"/>
          <w:szCs w:val="21"/>
        </w:rPr>
        <w:t>apport</w:t>
      </w:r>
      <w:r w:rsidR="0069437A">
        <w:rPr>
          <w:rFonts w:ascii="Arial" w:hAnsi="Arial" w:cs="Arial"/>
          <w:noProof/>
          <w:sz w:val="21"/>
          <w:szCs w:val="21"/>
        </w:rPr>
        <w:t>en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="0069437A">
        <w:rPr>
          <w:rFonts w:ascii="Arial" w:hAnsi="Arial" w:cs="Arial"/>
          <w:noProof/>
          <w:sz w:val="21"/>
          <w:szCs w:val="21"/>
        </w:rPr>
        <w:t>redov</w:t>
      </w:r>
      <w:r>
        <w:rPr>
          <w:rFonts w:ascii="Arial" w:hAnsi="Arial" w:cs="Arial"/>
          <w:noProof/>
          <w:sz w:val="21"/>
          <w:szCs w:val="21"/>
        </w:rPr>
        <w:t>isas hur sysselsättning, omsättning och orderingång har utvecklats och</w:t>
      </w:r>
      <w:r w:rsidR="004D1D9E">
        <w:rPr>
          <w:rFonts w:ascii="Arial" w:hAnsi="Arial" w:cs="Arial"/>
          <w:noProof/>
          <w:sz w:val="21"/>
          <w:szCs w:val="21"/>
        </w:rPr>
        <w:t xml:space="preserve"> företag</w:t>
      </w:r>
      <w:r w:rsidR="00E2102A">
        <w:rPr>
          <w:rFonts w:ascii="Arial" w:hAnsi="Arial" w:cs="Arial"/>
          <w:noProof/>
          <w:sz w:val="21"/>
          <w:szCs w:val="21"/>
        </w:rPr>
        <w:t>en</w:t>
      </w:r>
      <w:r w:rsidR="004D1D9E">
        <w:rPr>
          <w:rFonts w:ascii="Arial" w:hAnsi="Arial" w:cs="Arial"/>
          <w:noProof/>
          <w:sz w:val="21"/>
          <w:szCs w:val="21"/>
        </w:rPr>
        <w:t xml:space="preserve">s </w:t>
      </w:r>
      <w:r w:rsidR="00C163F9">
        <w:rPr>
          <w:rFonts w:ascii="Arial" w:hAnsi="Arial" w:cs="Arial"/>
          <w:noProof/>
          <w:sz w:val="21"/>
          <w:szCs w:val="21"/>
        </w:rPr>
        <w:t>förväntni</w:t>
      </w:r>
      <w:r w:rsidR="004D1D9E">
        <w:rPr>
          <w:rFonts w:ascii="Arial" w:hAnsi="Arial" w:cs="Arial"/>
          <w:noProof/>
          <w:sz w:val="21"/>
          <w:szCs w:val="21"/>
        </w:rPr>
        <w:t>ngar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="004D1D9E">
        <w:rPr>
          <w:rFonts w:ascii="Arial" w:hAnsi="Arial" w:cs="Arial"/>
          <w:noProof/>
          <w:sz w:val="21"/>
          <w:szCs w:val="21"/>
        </w:rPr>
        <w:t xml:space="preserve">de kommande tolv månaderna </w:t>
      </w:r>
      <w:r>
        <w:rPr>
          <w:rFonts w:ascii="Arial" w:hAnsi="Arial" w:cs="Arial"/>
          <w:noProof/>
          <w:sz w:val="21"/>
          <w:szCs w:val="21"/>
        </w:rPr>
        <w:t xml:space="preserve">för dessa områden. </w:t>
      </w:r>
      <w:r w:rsidR="0069437A">
        <w:rPr>
          <w:rFonts w:ascii="Arial" w:hAnsi="Arial" w:cs="Arial"/>
          <w:noProof/>
          <w:sz w:val="21"/>
          <w:szCs w:val="21"/>
        </w:rPr>
        <w:t>Svaren på övriga frågor kommer att presenteras i Småföretagsbarometern 2020 som släpps i juni</w:t>
      </w:r>
      <w:r w:rsidR="004D1D9E">
        <w:rPr>
          <w:rFonts w:ascii="Arial" w:hAnsi="Arial" w:cs="Arial"/>
          <w:noProof/>
          <w:sz w:val="21"/>
          <w:szCs w:val="21"/>
        </w:rPr>
        <w:t>.</w:t>
      </w:r>
    </w:p>
    <w:p w14:paraId="648EB32B" w14:textId="77777777" w:rsidR="0069437A" w:rsidRDefault="0069437A" w:rsidP="002F544B">
      <w:pPr>
        <w:spacing w:after="120" w:line="276" w:lineRule="auto"/>
        <w:contextualSpacing/>
        <w:rPr>
          <w:rFonts w:ascii="Arial" w:hAnsi="Arial" w:cs="Arial"/>
          <w:b/>
          <w:noProof/>
          <w:sz w:val="21"/>
          <w:szCs w:val="21"/>
        </w:rPr>
      </w:pPr>
    </w:p>
    <w:p w14:paraId="35660197" w14:textId="0C528E23" w:rsidR="006120BE" w:rsidRPr="006120BE" w:rsidRDefault="006120BE" w:rsidP="002F544B">
      <w:pPr>
        <w:spacing w:after="120" w:line="276" w:lineRule="auto"/>
        <w:contextualSpacing/>
        <w:rPr>
          <w:rFonts w:ascii="Arial" w:hAnsi="Arial" w:cs="Arial"/>
          <w:b/>
          <w:noProof/>
          <w:sz w:val="21"/>
          <w:szCs w:val="21"/>
        </w:rPr>
      </w:pPr>
      <w:r w:rsidRPr="006120BE">
        <w:rPr>
          <w:rFonts w:ascii="Arial" w:hAnsi="Arial" w:cs="Arial"/>
          <w:b/>
          <w:noProof/>
          <w:sz w:val="21"/>
          <w:szCs w:val="21"/>
        </w:rPr>
        <w:t>K</w:t>
      </w:r>
      <w:r w:rsidR="0069437A">
        <w:rPr>
          <w:rFonts w:ascii="Arial" w:hAnsi="Arial" w:cs="Arial"/>
          <w:b/>
          <w:noProof/>
          <w:sz w:val="21"/>
          <w:szCs w:val="21"/>
        </w:rPr>
        <w:t>raftig</w:t>
      </w:r>
      <w:r w:rsidR="004D1D9E">
        <w:rPr>
          <w:rFonts w:ascii="Arial" w:hAnsi="Arial" w:cs="Arial"/>
          <w:b/>
          <w:noProof/>
          <w:sz w:val="21"/>
          <w:szCs w:val="21"/>
        </w:rPr>
        <w:t>t</w:t>
      </w:r>
      <w:r w:rsidR="0069437A">
        <w:rPr>
          <w:rFonts w:ascii="Arial" w:hAnsi="Arial" w:cs="Arial"/>
          <w:b/>
          <w:noProof/>
          <w:sz w:val="21"/>
          <w:szCs w:val="21"/>
        </w:rPr>
        <w:t xml:space="preserve"> </w:t>
      </w:r>
      <w:r w:rsidR="004552E3">
        <w:rPr>
          <w:rFonts w:ascii="Arial" w:hAnsi="Arial" w:cs="Arial"/>
          <w:b/>
          <w:noProof/>
          <w:sz w:val="21"/>
          <w:szCs w:val="21"/>
        </w:rPr>
        <w:t>fall</w:t>
      </w:r>
      <w:r w:rsidR="0069437A">
        <w:rPr>
          <w:rFonts w:ascii="Arial" w:hAnsi="Arial" w:cs="Arial"/>
          <w:b/>
          <w:noProof/>
          <w:sz w:val="21"/>
          <w:szCs w:val="21"/>
        </w:rPr>
        <w:t xml:space="preserve"> i konjunkturindikatorn</w:t>
      </w:r>
      <w:r w:rsidR="006E21BC">
        <w:rPr>
          <w:rFonts w:ascii="Arial" w:hAnsi="Arial" w:cs="Arial"/>
          <w:b/>
          <w:noProof/>
          <w:sz w:val="21"/>
          <w:szCs w:val="21"/>
        </w:rPr>
        <w:t xml:space="preserve"> förväntas</w:t>
      </w:r>
      <w:r w:rsidRPr="006120BE">
        <w:rPr>
          <w:rFonts w:ascii="Arial" w:hAnsi="Arial" w:cs="Arial"/>
          <w:b/>
          <w:noProof/>
          <w:sz w:val="21"/>
          <w:szCs w:val="21"/>
        </w:rPr>
        <w:t xml:space="preserve"> </w:t>
      </w:r>
      <w:r w:rsidR="00C163F9">
        <w:rPr>
          <w:rFonts w:ascii="Arial" w:hAnsi="Arial" w:cs="Arial"/>
          <w:b/>
          <w:noProof/>
          <w:sz w:val="21"/>
          <w:szCs w:val="21"/>
        </w:rPr>
        <w:t>det närmaste året</w:t>
      </w:r>
    </w:p>
    <w:p w14:paraId="490187AB" w14:textId="532113F9" w:rsidR="0069437A" w:rsidRDefault="006120BE" w:rsidP="00E2102A">
      <w:pPr>
        <w:spacing w:after="240" w:line="276" w:lineRule="auto"/>
        <w:contextualSpacing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F</w:t>
      </w:r>
      <w:r w:rsidR="002F544B" w:rsidRPr="002F544B">
        <w:rPr>
          <w:rFonts w:ascii="Arial" w:hAnsi="Arial" w:cs="Arial"/>
          <w:noProof/>
          <w:sz w:val="21"/>
          <w:szCs w:val="21"/>
        </w:rPr>
        <w:t xml:space="preserve">öretagens </w:t>
      </w:r>
      <w:r w:rsidR="00C163F9">
        <w:rPr>
          <w:rFonts w:ascii="Arial" w:hAnsi="Arial" w:cs="Arial"/>
          <w:noProof/>
          <w:sz w:val="21"/>
          <w:szCs w:val="21"/>
        </w:rPr>
        <w:t>förväntningar</w:t>
      </w:r>
      <w:r w:rsidR="002F544B" w:rsidRPr="002F544B">
        <w:rPr>
          <w:rFonts w:ascii="Arial" w:hAnsi="Arial" w:cs="Arial"/>
          <w:noProof/>
          <w:sz w:val="21"/>
          <w:szCs w:val="21"/>
        </w:rPr>
        <w:t xml:space="preserve"> för de kommande tolv månaderna </w:t>
      </w:r>
      <w:r>
        <w:rPr>
          <w:rFonts w:ascii="Arial" w:hAnsi="Arial" w:cs="Arial"/>
          <w:noProof/>
          <w:sz w:val="21"/>
          <w:szCs w:val="21"/>
        </w:rPr>
        <w:t xml:space="preserve">är pessimistiska. När man väger ihop deras förväntan på </w:t>
      </w:r>
      <w:r w:rsidRPr="002F544B">
        <w:rPr>
          <w:rFonts w:ascii="Arial" w:hAnsi="Arial" w:cs="Arial"/>
          <w:noProof/>
          <w:sz w:val="21"/>
          <w:szCs w:val="21"/>
        </w:rPr>
        <w:t xml:space="preserve">sysselsättning, orderingång och omsättning </w:t>
      </w:r>
      <w:r w:rsidR="00DC3D3E">
        <w:rPr>
          <w:rFonts w:ascii="Arial" w:hAnsi="Arial" w:cs="Arial"/>
          <w:noProof/>
          <w:sz w:val="21"/>
          <w:szCs w:val="21"/>
        </w:rPr>
        <w:t>visar det e</w:t>
      </w:r>
      <w:r w:rsidR="002F544B" w:rsidRPr="002F544B">
        <w:rPr>
          <w:rFonts w:ascii="Arial" w:hAnsi="Arial" w:cs="Arial"/>
          <w:noProof/>
          <w:sz w:val="21"/>
          <w:szCs w:val="21"/>
        </w:rPr>
        <w:t xml:space="preserve">n kraftig nedgång </w:t>
      </w:r>
      <w:r w:rsidR="00DC3D3E">
        <w:rPr>
          <w:rFonts w:ascii="Arial" w:hAnsi="Arial" w:cs="Arial"/>
          <w:noProof/>
          <w:sz w:val="21"/>
          <w:szCs w:val="21"/>
        </w:rPr>
        <w:t xml:space="preserve">och den så kallade </w:t>
      </w:r>
      <w:r w:rsidR="002F544B" w:rsidRPr="002F544B">
        <w:rPr>
          <w:rFonts w:ascii="Arial" w:hAnsi="Arial" w:cs="Arial"/>
          <w:noProof/>
          <w:sz w:val="21"/>
          <w:szCs w:val="21"/>
        </w:rPr>
        <w:t>konjunkturindikator</w:t>
      </w:r>
      <w:r w:rsidR="00232C05">
        <w:rPr>
          <w:rStyle w:val="Fotnotsreferens"/>
          <w:rFonts w:ascii="Arial" w:hAnsi="Arial" w:cs="Arial"/>
          <w:noProof/>
          <w:sz w:val="21"/>
          <w:szCs w:val="21"/>
        </w:rPr>
        <w:footnoteReference w:id="1"/>
      </w:r>
      <w:r w:rsidR="002F544B" w:rsidRPr="002F544B">
        <w:rPr>
          <w:rFonts w:ascii="Arial" w:hAnsi="Arial" w:cs="Arial"/>
          <w:noProof/>
          <w:sz w:val="21"/>
          <w:szCs w:val="21"/>
        </w:rPr>
        <w:t xml:space="preserve"> </w:t>
      </w:r>
      <w:r w:rsidR="00DC3D3E">
        <w:rPr>
          <w:rFonts w:ascii="Arial" w:hAnsi="Arial" w:cs="Arial"/>
          <w:noProof/>
          <w:sz w:val="21"/>
          <w:szCs w:val="21"/>
        </w:rPr>
        <w:t xml:space="preserve">hamnar på </w:t>
      </w:r>
      <w:r w:rsidR="002F544B" w:rsidRPr="002F544B">
        <w:rPr>
          <w:rFonts w:ascii="Arial" w:hAnsi="Arial" w:cs="Arial"/>
          <w:noProof/>
          <w:sz w:val="21"/>
          <w:szCs w:val="21"/>
        </w:rPr>
        <w:t xml:space="preserve">nettotalet -2. </w:t>
      </w:r>
      <w:r w:rsidR="00DC3D3E">
        <w:rPr>
          <w:rFonts w:ascii="Arial" w:hAnsi="Arial" w:cs="Arial"/>
          <w:noProof/>
          <w:sz w:val="21"/>
          <w:szCs w:val="21"/>
        </w:rPr>
        <w:t xml:space="preserve">Det är en </w:t>
      </w:r>
      <w:r w:rsidR="002F544B" w:rsidRPr="002F544B">
        <w:rPr>
          <w:rFonts w:ascii="Arial" w:hAnsi="Arial" w:cs="Arial"/>
          <w:noProof/>
          <w:sz w:val="21"/>
          <w:szCs w:val="21"/>
        </w:rPr>
        <w:t xml:space="preserve">nedgång med 59 indexenheter </w:t>
      </w:r>
      <w:r w:rsidR="00DC3D3E">
        <w:rPr>
          <w:rFonts w:ascii="Arial" w:hAnsi="Arial" w:cs="Arial"/>
          <w:noProof/>
          <w:sz w:val="21"/>
          <w:szCs w:val="21"/>
        </w:rPr>
        <w:t xml:space="preserve">jämfört med förra årets mätning. </w:t>
      </w:r>
      <w:r w:rsidR="00C163F9">
        <w:rPr>
          <w:rFonts w:ascii="Arial" w:hAnsi="Arial" w:cs="Arial"/>
          <w:noProof/>
          <w:sz w:val="21"/>
          <w:szCs w:val="21"/>
        </w:rPr>
        <w:t>K</w:t>
      </w:r>
      <w:r w:rsidR="001C0028">
        <w:rPr>
          <w:rFonts w:ascii="Arial" w:hAnsi="Arial" w:cs="Arial"/>
          <w:noProof/>
          <w:sz w:val="21"/>
          <w:szCs w:val="21"/>
        </w:rPr>
        <w:t xml:space="preserve">onjunkturindikatorn skulle </w:t>
      </w:r>
      <w:r w:rsidR="00C163F9">
        <w:rPr>
          <w:rFonts w:ascii="Arial" w:hAnsi="Arial" w:cs="Arial"/>
          <w:noProof/>
          <w:sz w:val="21"/>
          <w:szCs w:val="21"/>
        </w:rPr>
        <w:t xml:space="preserve">därmed </w:t>
      </w:r>
      <w:r w:rsidR="001C0028">
        <w:rPr>
          <w:rFonts w:ascii="Arial" w:hAnsi="Arial" w:cs="Arial"/>
          <w:noProof/>
          <w:sz w:val="21"/>
          <w:szCs w:val="21"/>
        </w:rPr>
        <w:t>nå de lägsta nivåerna sedan finanskrisåren i början av 1990-talet och under 2008/2009.</w:t>
      </w:r>
    </w:p>
    <w:p w14:paraId="37081F62" w14:textId="77777777" w:rsidR="00F46782" w:rsidRDefault="00F46782" w:rsidP="00E2102A">
      <w:pPr>
        <w:spacing w:after="240" w:line="276" w:lineRule="auto"/>
        <w:contextualSpacing/>
        <w:rPr>
          <w:rFonts w:ascii="Arial" w:hAnsi="Arial" w:cs="Arial"/>
          <w:noProof/>
          <w:sz w:val="21"/>
          <w:szCs w:val="21"/>
        </w:rPr>
      </w:pPr>
    </w:p>
    <w:p w14:paraId="5F5900FD" w14:textId="6A59F247" w:rsidR="00F46782" w:rsidRDefault="00F46782" w:rsidP="00E2102A">
      <w:pPr>
        <w:spacing w:after="240" w:line="276" w:lineRule="auto"/>
        <w:contextualSpacing/>
        <w:rPr>
          <w:rFonts w:ascii="Arial" w:hAnsi="Arial" w:cs="Arial"/>
          <w:i/>
          <w:iCs/>
          <w:noProof/>
          <w:sz w:val="18"/>
          <w:szCs w:val="18"/>
        </w:rPr>
      </w:pPr>
      <w:r>
        <w:rPr>
          <w:rFonts w:ascii="Arial" w:hAnsi="Arial" w:cs="Arial"/>
          <w:i/>
          <w:iCs/>
          <w:noProof/>
          <w:sz w:val="18"/>
          <w:szCs w:val="18"/>
        </w:rPr>
        <w:t>Figur 1. Sammanlagd konjunkturindikator</w:t>
      </w:r>
    </w:p>
    <w:p w14:paraId="17B07C04" w14:textId="77777777" w:rsidR="00F46782" w:rsidRPr="00F46782" w:rsidRDefault="00F46782" w:rsidP="00E2102A">
      <w:pPr>
        <w:spacing w:after="240" w:line="276" w:lineRule="auto"/>
        <w:contextualSpacing/>
        <w:rPr>
          <w:rFonts w:ascii="Arial" w:hAnsi="Arial" w:cs="Arial"/>
          <w:i/>
          <w:iCs/>
          <w:noProof/>
          <w:sz w:val="18"/>
          <w:szCs w:val="18"/>
        </w:rPr>
      </w:pPr>
    </w:p>
    <w:p w14:paraId="596D09A2" w14:textId="6C21E28A" w:rsidR="0069437A" w:rsidRDefault="0069437A" w:rsidP="002F544B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  <w:r>
        <w:rPr>
          <w:noProof/>
        </w:rPr>
        <w:drawing>
          <wp:inline distT="0" distB="0" distL="0" distR="0" wp14:anchorId="6A540A10" wp14:editId="62BA70F7">
            <wp:extent cx="5126400" cy="278640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84A187F4-B108-4FAF-AE49-5EA7B26D6B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FCB23B" w14:textId="2442DD99" w:rsidR="00F46782" w:rsidRPr="00F46782" w:rsidRDefault="00F46782" w:rsidP="002F544B">
      <w:pPr>
        <w:spacing w:after="120" w:line="276" w:lineRule="auto"/>
        <w:contextualSpacing/>
        <w:rPr>
          <w:rFonts w:ascii="Arial" w:hAnsi="Arial" w:cs="Arial"/>
          <w:i/>
          <w:iCs/>
          <w:noProof/>
          <w:sz w:val="18"/>
          <w:szCs w:val="18"/>
        </w:rPr>
      </w:pPr>
    </w:p>
    <w:p w14:paraId="1434759F" w14:textId="31DC1B05" w:rsidR="00D13517" w:rsidRDefault="00D13517" w:rsidP="002F544B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</w:p>
    <w:p w14:paraId="4DB06B94" w14:textId="4A813434" w:rsidR="0069437A" w:rsidRDefault="0069437A" w:rsidP="0069437A">
      <w:pPr>
        <w:rPr>
          <w:rFonts w:ascii="Arial" w:hAnsi="Arial" w:cs="Arial"/>
          <w:b/>
          <w:bCs/>
          <w:sz w:val="21"/>
          <w:szCs w:val="21"/>
        </w:rPr>
      </w:pPr>
      <w:r w:rsidRPr="0069437A">
        <w:rPr>
          <w:rFonts w:ascii="Arial" w:hAnsi="Arial" w:cs="Arial"/>
          <w:b/>
          <w:bCs/>
          <w:sz w:val="21"/>
          <w:szCs w:val="21"/>
        </w:rPr>
        <w:t>Sysselsättnings</w:t>
      </w:r>
      <w:r w:rsidR="00C163F9">
        <w:rPr>
          <w:rFonts w:ascii="Arial" w:hAnsi="Arial" w:cs="Arial"/>
          <w:b/>
          <w:bCs/>
          <w:sz w:val="21"/>
          <w:szCs w:val="21"/>
        </w:rPr>
        <w:t>tillväxten stannar av</w:t>
      </w:r>
    </w:p>
    <w:p w14:paraId="4D8FB2C9" w14:textId="2856086B" w:rsidR="00E45F7A" w:rsidRPr="00E45F7A" w:rsidRDefault="00C163F9" w:rsidP="00376289">
      <w:pPr>
        <w:spacing w:after="12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Innan cor</w:t>
      </w:r>
      <w:r w:rsidR="004D1D9E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napandemi</w:t>
      </w:r>
      <w:r w:rsidR="004D1D9E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slog till uppvisade småföretagen en stigande sysselsättning. </w:t>
      </w:r>
      <w:r w:rsidR="00A517EB">
        <w:rPr>
          <w:rFonts w:ascii="Arial" w:hAnsi="Arial" w:cs="Arial"/>
          <w:sz w:val="21"/>
          <w:szCs w:val="21"/>
        </w:rPr>
        <w:t>Preliminära nettotalet för sysselsättningen under de gånga tolv månader</w:t>
      </w:r>
      <w:r w:rsidR="004D1D9E">
        <w:rPr>
          <w:rFonts w:ascii="Arial" w:hAnsi="Arial" w:cs="Arial"/>
          <w:sz w:val="21"/>
          <w:szCs w:val="21"/>
        </w:rPr>
        <w:t>na</w:t>
      </w:r>
      <w:r w:rsidR="00A517EB">
        <w:rPr>
          <w:rFonts w:ascii="Arial" w:hAnsi="Arial" w:cs="Arial"/>
          <w:sz w:val="21"/>
          <w:szCs w:val="21"/>
        </w:rPr>
        <w:t xml:space="preserve"> noterades till 7</w:t>
      </w:r>
      <w:r w:rsidR="00E45F7A" w:rsidRPr="00E45F7A">
        <w:rPr>
          <w:rFonts w:ascii="Arial" w:hAnsi="Arial" w:cs="Arial"/>
          <w:sz w:val="21"/>
          <w:szCs w:val="21"/>
        </w:rPr>
        <w:t xml:space="preserve"> vilket är en oförändrad </w:t>
      </w:r>
      <w:r w:rsidR="003265D5">
        <w:rPr>
          <w:rFonts w:ascii="Arial" w:hAnsi="Arial" w:cs="Arial"/>
          <w:sz w:val="21"/>
          <w:szCs w:val="21"/>
        </w:rPr>
        <w:t>nivå</w:t>
      </w:r>
      <w:r w:rsidR="00E45F7A" w:rsidRPr="00E45F7A">
        <w:rPr>
          <w:rFonts w:ascii="Arial" w:hAnsi="Arial" w:cs="Arial"/>
          <w:sz w:val="21"/>
          <w:szCs w:val="21"/>
        </w:rPr>
        <w:t xml:space="preserve"> jämfört med fjolårets Småföretagsbarometer. </w:t>
      </w:r>
      <w:r w:rsidR="00A517EB" w:rsidRPr="00E45F7A">
        <w:rPr>
          <w:rFonts w:ascii="Arial" w:hAnsi="Arial" w:cs="Arial"/>
          <w:sz w:val="21"/>
          <w:szCs w:val="21"/>
        </w:rPr>
        <w:t xml:space="preserve">Däremot </w:t>
      </w:r>
      <w:r w:rsidR="00A517EB">
        <w:rPr>
          <w:rFonts w:ascii="Arial" w:hAnsi="Arial" w:cs="Arial"/>
          <w:sz w:val="21"/>
          <w:szCs w:val="21"/>
        </w:rPr>
        <w:t>är</w:t>
      </w:r>
      <w:r w:rsidR="00A517EB" w:rsidRPr="00E45F7A">
        <w:rPr>
          <w:rFonts w:ascii="Arial" w:hAnsi="Arial" w:cs="Arial"/>
          <w:sz w:val="21"/>
          <w:szCs w:val="21"/>
        </w:rPr>
        <w:t xml:space="preserve"> utfallet betydligt lägre än vad företagen förväntade sig i fjolårets rapport</w:t>
      </w:r>
      <w:r w:rsidR="00A517EB">
        <w:rPr>
          <w:rFonts w:ascii="Arial" w:hAnsi="Arial" w:cs="Arial"/>
          <w:sz w:val="21"/>
          <w:szCs w:val="21"/>
        </w:rPr>
        <w:t xml:space="preserve"> då nettotalet noterades till </w:t>
      </w:r>
      <w:r w:rsidR="00A517EB" w:rsidRPr="00E45F7A">
        <w:rPr>
          <w:rFonts w:ascii="Arial" w:hAnsi="Arial" w:cs="Arial"/>
          <w:sz w:val="21"/>
          <w:szCs w:val="21"/>
        </w:rPr>
        <w:t>18</w:t>
      </w:r>
      <w:r w:rsidR="00A517EB">
        <w:rPr>
          <w:rFonts w:ascii="Arial" w:hAnsi="Arial" w:cs="Arial"/>
          <w:sz w:val="21"/>
          <w:szCs w:val="21"/>
        </w:rPr>
        <w:t>.</w:t>
      </w:r>
      <w:r w:rsidR="00E45F7A" w:rsidRPr="00E45F7A">
        <w:rPr>
          <w:rFonts w:ascii="Arial" w:hAnsi="Arial" w:cs="Arial"/>
          <w:sz w:val="21"/>
          <w:szCs w:val="21"/>
        </w:rPr>
        <w:t xml:space="preserve"> </w:t>
      </w:r>
    </w:p>
    <w:p w14:paraId="67A5D46C" w14:textId="68926058" w:rsidR="00E45F7A" w:rsidRDefault="003265D5" w:rsidP="00376289">
      <w:pPr>
        <w:spacing w:after="12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Småföretagens sysselsättningsplaner blev allt mer pessimistiska under loppet av mars månad i samband med att coronakrisen fördjupades. </w:t>
      </w:r>
      <w:r w:rsidRPr="00E45F7A">
        <w:rPr>
          <w:rFonts w:ascii="Arial" w:hAnsi="Arial" w:cs="Arial"/>
          <w:sz w:val="21"/>
          <w:szCs w:val="21"/>
        </w:rPr>
        <w:t xml:space="preserve">En </w:t>
      </w:r>
      <w:r>
        <w:rPr>
          <w:rFonts w:ascii="Arial" w:hAnsi="Arial" w:cs="Arial"/>
          <w:sz w:val="21"/>
          <w:szCs w:val="21"/>
        </w:rPr>
        <w:t>märkbar</w:t>
      </w:r>
      <w:r w:rsidRPr="00E45F7A">
        <w:rPr>
          <w:rFonts w:ascii="Arial" w:hAnsi="Arial" w:cs="Arial"/>
          <w:sz w:val="21"/>
          <w:szCs w:val="21"/>
        </w:rPr>
        <w:t xml:space="preserve"> förändring i företagens </w:t>
      </w:r>
      <w:r>
        <w:rPr>
          <w:rFonts w:ascii="Arial" w:hAnsi="Arial" w:cs="Arial"/>
          <w:sz w:val="21"/>
          <w:szCs w:val="21"/>
        </w:rPr>
        <w:t>planer skedde</w:t>
      </w:r>
      <w:r w:rsidRPr="00E45F7A">
        <w:rPr>
          <w:rFonts w:ascii="Arial" w:hAnsi="Arial" w:cs="Arial"/>
          <w:sz w:val="21"/>
          <w:szCs w:val="21"/>
        </w:rPr>
        <w:t xml:space="preserve"> mellan vecka 11 och vecka 12</w:t>
      </w:r>
      <w:r>
        <w:rPr>
          <w:rFonts w:ascii="Arial" w:hAnsi="Arial" w:cs="Arial"/>
          <w:sz w:val="21"/>
          <w:szCs w:val="21"/>
        </w:rPr>
        <w:t xml:space="preserve">. Då </w:t>
      </w:r>
      <w:r w:rsidR="00A81658">
        <w:rPr>
          <w:rFonts w:ascii="Arial" w:hAnsi="Arial" w:cs="Arial"/>
          <w:sz w:val="21"/>
          <w:szCs w:val="21"/>
        </w:rPr>
        <w:t>var</w:t>
      </w:r>
      <w:r w:rsidRPr="00E45F7A">
        <w:rPr>
          <w:rFonts w:ascii="Arial" w:hAnsi="Arial" w:cs="Arial"/>
          <w:sz w:val="21"/>
          <w:szCs w:val="21"/>
        </w:rPr>
        <w:t xml:space="preserve"> andelen företag som tror på en minskad personalstyrka under kommande tolv månader större än andelen företag som tror </w:t>
      </w:r>
      <w:r w:rsidR="00BA315B">
        <w:rPr>
          <w:rFonts w:ascii="Arial" w:hAnsi="Arial" w:cs="Arial"/>
          <w:sz w:val="21"/>
          <w:szCs w:val="21"/>
        </w:rPr>
        <w:t xml:space="preserve">att </w:t>
      </w:r>
      <w:r w:rsidRPr="00E45F7A">
        <w:rPr>
          <w:rFonts w:ascii="Arial" w:hAnsi="Arial" w:cs="Arial"/>
          <w:sz w:val="21"/>
          <w:szCs w:val="21"/>
        </w:rPr>
        <w:t>personalstyrka</w:t>
      </w:r>
      <w:r w:rsidR="00BA315B">
        <w:rPr>
          <w:rFonts w:ascii="Arial" w:hAnsi="Arial" w:cs="Arial"/>
          <w:sz w:val="21"/>
          <w:szCs w:val="21"/>
        </w:rPr>
        <w:t>n ska öka</w:t>
      </w:r>
      <w:r w:rsidRPr="00E45F7A">
        <w:rPr>
          <w:rFonts w:ascii="Arial" w:hAnsi="Arial" w:cs="Arial"/>
          <w:sz w:val="21"/>
          <w:szCs w:val="21"/>
        </w:rPr>
        <w:t>. Den negativa utveckling</w:t>
      </w:r>
      <w:r w:rsidR="00BA315B">
        <w:rPr>
          <w:rFonts w:ascii="Arial" w:hAnsi="Arial" w:cs="Arial"/>
          <w:sz w:val="21"/>
          <w:szCs w:val="21"/>
        </w:rPr>
        <w:t>en</w:t>
      </w:r>
      <w:r w:rsidRPr="00E45F7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fortsatte </w:t>
      </w:r>
      <w:r w:rsidRPr="00E45F7A">
        <w:rPr>
          <w:rFonts w:ascii="Arial" w:hAnsi="Arial" w:cs="Arial"/>
          <w:sz w:val="21"/>
          <w:szCs w:val="21"/>
        </w:rPr>
        <w:t>under vecka 13, vilket är den sista veckan som de preliminära resultaten baseras på</w:t>
      </w:r>
      <w:r>
        <w:rPr>
          <w:rFonts w:ascii="Arial" w:hAnsi="Arial" w:cs="Arial"/>
          <w:sz w:val="21"/>
          <w:szCs w:val="21"/>
        </w:rPr>
        <w:t xml:space="preserve">. </w:t>
      </w:r>
      <w:r w:rsidR="00A81658">
        <w:rPr>
          <w:rFonts w:ascii="Arial" w:hAnsi="Arial" w:cs="Arial"/>
          <w:sz w:val="21"/>
          <w:szCs w:val="21"/>
        </w:rPr>
        <w:t>Sammantaget sjönk nettotalet för sysselsättning</w:t>
      </w:r>
      <w:r w:rsidR="00BA315B">
        <w:rPr>
          <w:rFonts w:ascii="Arial" w:hAnsi="Arial" w:cs="Arial"/>
          <w:sz w:val="21"/>
          <w:szCs w:val="21"/>
        </w:rPr>
        <w:t>sprognosen</w:t>
      </w:r>
      <w:r w:rsidR="00A81658">
        <w:rPr>
          <w:rFonts w:ascii="Arial" w:hAnsi="Arial" w:cs="Arial"/>
          <w:sz w:val="21"/>
          <w:szCs w:val="21"/>
        </w:rPr>
        <w:t xml:space="preserve"> för de kommande tolv månaderna till 1</w:t>
      </w:r>
      <w:r w:rsidR="00BA315B">
        <w:rPr>
          <w:rFonts w:ascii="Arial" w:hAnsi="Arial" w:cs="Arial"/>
          <w:sz w:val="21"/>
          <w:szCs w:val="21"/>
        </w:rPr>
        <w:t xml:space="preserve">. </w:t>
      </w:r>
      <w:r w:rsidR="00E45F7A" w:rsidRPr="00E45F7A">
        <w:rPr>
          <w:rFonts w:ascii="Arial" w:hAnsi="Arial" w:cs="Arial"/>
          <w:sz w:val="21"/>
          <w:szCs w:val="21"/>
        </w:rPr>
        <w:t>14 procent av företagen tror att personalstyrka</w:t>
      </w:r>
      <w:r w:rsidR="00376289">
        <w:rPr>
          <w:rFonts w:ascii="Arial" w:hAnsi="Arial" w:cs="Arial"/>
          <w:sz w:val="21"/>
          <w:szCs w:val="21"/>
        </w:rPr>
        <w:t>n</w:t>
      </w:r>
      <w:r w:rsidR="00E45F7A" w:rsidRPr="00E45F7A">
        <w:rPr>
          <w:rFonts w:ascii="Arial" w:hAnsi="Arial" w:cs="Arial"/>
          <w:sz w:val="21"/>
          <w:szCs w:val="21"/>
        </w:rPr>
        <w:t xml:space="preserve"> kommer att öka, medan 13 procent tror </w:t>
      </w:r>
      <w:r w:rsidR="00376289">
        <w:rPr>
          <w:rFonts w:ascii="Arial" w:hAnsi="Arial" w:cs="Arial"/>
          <w:sz w:val="21"/>
          <w:szCs w:val="21"/>
        </w:rPr>
        <w:t>att den kommer att minska</w:t>
      </w:r>
      <w:r w:rsidR="00E45F7A" w:rsidRPr="00E45F7A">
        <w:rPr>
          <w:rFonts w:ascii="Arial" w:hAnsi="Arial" w:cs="Arial"/>
          <w:sz w:val="21"/>
          <w:szCs w:val="21"/>
        </w:rPr>
        <w:t xml:space="preserve">. </w:t>
      </w:r>
    </w:p>
    <w:p w14:paraId="712FEC52" w14:textId="51A3426F" w:rsidR="00F46782" w:rsidRPr="00F46782" w:rsidRDefault="00F46782" w:rsidP="00376289">
      <w:pPr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Figur 2. Sysselsättningsutveckling</w:t>
      </w:r>
    </w:p>
    <w:p w14:paraId="041BE58F" w14:textId="77777777" w:rsidR="0069437A" w:rsidRDefault="0069437A" w:rsidP="0069437A">
      <w:pPr>
        <w:rPr>
          <w:b/>
          <w:bCs/>
        </w:rPr>
      </w:pPr>
      <w:r>
        <w:rPr>
          <w:noProof/>
        </w:rPr>
        <w:drawing>
          <wp:inline distT="0" distB="0" distL="0" distR="0" wp14:anchorId="4B4C9DCF" wp14:editId="3705D7E0">
            <wp:extent cx="4665600" cy="2588400"/>
            <wp:effectExtent l="0" t="0" r="1905" b="254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70A4CD33-3FDE-4631-AAAD-D8B32FD70B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2F0C31" w14:textId="55BCE220" w:rsidR="0069437A" w:rsidRDefault="0069437A" w:rsidP="002F544B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</w:p>
    <w:p w14:paraId="4A3BD0D9" w14:textId="73C7EBE5" w:rsidR="00376289" w:rsidRDefault="00376289" w:rsidP="002F544B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</w:p>
    <w:p w14:paraId="57B1B2F1" w14:textId="572AA00A" w:rsidR="00376289" w:rsidRDefault="00376289" w:rsidP="002F544B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</w:p>
    <w:p w14:paraId="651D30A9" w14:textId="7AA99D30" w:rsidR="00495C4F" w:rsidRDefault="002B7D9C" w:rsidP="00495C4F">
      <w:pPr>
        <w:spacing w:after="12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Kraftig nedgång i orderingången föruts</w:t>
      </w:r>
      <w:r w:rsidR="00BA315B">
        <w:rPr>
          <w:rFonts w:ascii="Arial" w:hAnsi="Arial" w:cs="Arial"/>
          <w:b/>
          <w:bCs/>
          <w:sz w:val="21"/>
          <w:szCs w:val="21"/>
        </w:rPr>
        <w:t>pås</w:t>
      </w:r>
      <w:r w:rsidR="00DF1711">
        <w:rPr>
          <w:rFonts w:ascii="Arial" w:hAnsi="Arial" w:cs="Arial"/>
          <w:b/>
          <w:bCs/>
          <w:sz w:val="21"/>
          <w:szCs w:val="21"/>
        </w:rPr>
        <w:t xml:space="preserve"> </w:t>
      </w:r>
      <w:r w:rsidR="00495C4F" w:rsidRPr="00495C4F">
        <w:rPr>
          <w:rFonts w:ascii="Arial" w:hAnsi="Arial" w:cs="Arial"/>
          <w:sz w:val="21"/>
          <w:szCs w:val="21"/>
        </w:rPr>
        <w:t xml:space="preserve"> </w:t>
      </w:r>
    </w:p>
    <w:p w14:paraId="22F75010" w14:textId="65966CA7" w:rsidR="00495C4F" w:rsidRPr="00495C4F" w:rsidRDefault="00495C4F" w:rsidP="00495C4F">
      <w:pPr>
        <w:spacing w:after="120" w:line="276" w:lineRule="auto"/>
        <w:rPr>
          <w:rFonts w:ascii="Arial" w:hAnsi="Arial" w:cs="Arial"/>
          <w:sz w:val="21"/>
          <w:szCs w:val="21"/>
        </w:rPr>
      </w:pPr>
      <w:r w:rsidRPr="00495C4F">
        <w:rPr>
          <w:rFonts w:ascii="Arial" w:hAnsi="Arial" w:cs="Arial"/>
          <w:sz w:val="21"/>
          <w:szCs w:val="21"/>
        </w:rPr>
        <w:t xml:space="preserve">Det preliminära resultatet för företagens orderingång </w:t>
      </w:r>
      <w:r w:rsidR="00623A8F">
        <w:rPr>
          <w:rFonts w:ascii="Arial" w:hAnsi="Arial" w:cs="Arial"/>
          <w:sz w:val="21"/>
          <w:szCs w:val="21"/>
        </w:rPr>
        <w:t xml:space="preserve">under </w:t>
      </w:r>
      <w:r w:rsidR="00BA315B">
        <w:rPr>
          <w:rFonts w:ascii="Arial" w:hAnsi="Arial" w:cs="Arial"/>
          <w:sz w:val="21"/>
          <w:szCs w:val="21"/>
        </w:rPr>
        <w:t xml:space="preserve">de senaste </w:t>
      </w:r>
      <w:r w:rsidR="00623A8F">
        <w:rPr>
          <w:rFonts w:ascii="Arial" w:hAnsi="Arial" w:cs="Arial"/>
          <w:sz w:val="21"/>
          <w:szCs w:val="21"/>
        </w:rPr>
        <w:t>tolv månader</w:t>
      </w:r>
      <w:r w:rsidR="00BA315B">
        <w:rPr>
          <w:rFonts w:ascii="Arial" w:hAnsi="Arial" w:cs="Arial"/>
          <w:sz w:val="21"/>
          <w:szCs w:val="21"/>
        </w:rPr>
        <w:t>na</w:t>
      </w:r>
      <w:r w:rsidR="00623A8F">
        <w:rPr>
          <w:rFonts w:ascii="Arial" w:hAnsi="Arial" w:cs="Arial"/>
          <w:sz w:val="21"/>
          <w:szCs w:val="21"/>
        </w:rPr>
        <w:t xml:space="preserve"> visar på en </w:t>
      </w:r>
      <w:r w:rsidR="00D36C0A">
        <w:rPr>
          <w:rFonts w:ascii="Arial" w:hAnsi="Arial" w:cs="Arial"/>
          <w:sz w:val="21"/>
          <w:szCs w:val="21"/>
        </w:rPr>
        <w:t>fortsatt växande</w:t>
      </w:r>
      <w:r w:rsidR="00623A8F">
        <w:rPr>
          <w:rFonts w:ascii="Arial" w:hAnsi="Arial" w:cs="Arial"/>
          <w:sz w:val="21"/>
          <w:szCs w:val="21"/>
        </w:rPr>
        <w:t xml:space="preserve"> orderingång även om trenden var nedåtgående.</w:t>
      </w:r>
      <w:r w:rsidR="00F4678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Cirka </w:t>
      </w:r>
      <w:r w:rsidRPr="00495C4F">
        <w:rPr>
          <w:rFonts w:ascii="Arial" w:hAnsi="Arial" w:cs="Arial"/>
          <w:sz w:val="21"/>
          <w:szCs w:val="21"/>
        </w:rPr>
        <w:t xml:space="preserve">40 procent av företagen </w:t>
      </w:r>
      <w:r>
        <w:rPr>
          <w:rFonts w:ascii="Arial" w:hAnsi="Arial" w:cs="Arial"/>
          <w:sz w:val="21"/>
          <w:szCs w:val="21"/>
        </w:rPr>
        <w:t xml:space="preserve">har </w:t>
      </w:r>
      <w:r w:rsidRPr="00495C4F">
        <w:rPr>
          <w:rFonts w:ascii="Arial" w:hAnsi="Arial" w:cs="Arial"/>
          <w:sz w:val="21"/>
          <w:szCs w:val="21"/>
        </w:rPr>
        <w:t xml:space="preserve">upplevt </w:t>
      </w:r>
      <w:r>
        <w:rPr>
          <w:rFonts w:ascii="Arial" w:hAnsi="Arial" w:cs="Arial"/>
          <w:sz w:val="21"/>
          <w:szCs w:val="21"/>
        </w:rPr>
        <w:t xml:space="preserve">att </w:t>
      </w:r>
      <w:r w:rsidRPr="00495C4F">
        <w:rPr>
          <w:rFonts w:ascii="Arial" w:hAnsi="Arial" w:cs="Arial"/>
          <w:sz w:val="21"/>
          <w:szCs w:val="21"/>
        </w:rPr>
        <w:t>orderingång</w:t>
      </w:r>
      <w:r>
        <w:rPr>
          <w:rFonts w:ascii="Arial" w:hAnsi="Arial" w:cs="Arial"/>
          <w:sz w:val="21"/>
          <w:szCs w:val="21"/>
        </w:rPr>
        <w:t>en ökat</w:t>
      </w:r>
      <w:r w:rsidRPr="00495C4F">
        <w:rPr>
          <w:rFonts w:ascii="Arial" w:hAnsi="Arial" w:cs="Arial"/>
          <w:sz w:val="21"/>
          <w:szCs w:val="21"/>
        </w:rPr>
        <w:t xml:space="preserve"> </w:t>
      </w:r>
      <w:r w:rsidR="00623A8F">
        <w:rPr>
          <w:rFonts w:ascii="Arial" w:hAnsi="Arial" w:cs="Arial"/>
          <w:sz w:val="21"/>
          <w:szCs w:val="21"/>
        </w:rPr>
        <w:t xml:space="preserve">de senaste tolv månaderna </w:t>
      </w:r>
      <w:r w:rsidRPr="00495C4F">
        <w:rPr>
          <w:rFonts w:ascii="Arial" w:hAnsi="Arial" w:cs="Arial"/>
          <w:sz w:val="21"/>
          <w:szCs w:val="21"/>
        </w:rPr>
        <w:t xml:space="preserve">samtidigt som nästan var femte </w:t>
      </w:r>
      <w:r>
        <w:rPr>
          <w:rFonts w:ascii="Arial" w:hAnsi="Arial" w:cs="Arial"/>
          <w:sz w:val="21"/>
          <w:szCs w:val="21"/>
        </w:rPr>
        <w:t xml:space="preserve">uppgav att den </w:t>
      </w:r>
      <w:r w:rsidR="00D36C0A">
        <w:rPr>
          <w:rFonts w:ascii="Arial" w:hAnsi="Arial" w:cs="Arial"/>
          <w:sz w:val="21"/>
          <w:szCs w:val="21"/>
        </w:rPr>
        <w:t xml:space="preserve">har </w:t>
      </w:r>
      <w:r w:rsidRPr="00495C4F">
        <w:rPr>
          <w:rFonts w:ascii="Arial" w:hAnsi="Arial" w:cs="Arial"/>
          <w:sz w:val="21"/>
          <w:szCs w:val="21"/>
        </w:rPr>
        <w:t>minska</w:t>
      </w:r>
      <w:r>
        <w:rPr>
          <w:rFonts w:ascii="Arial" w:hAnsi="Arial" w:cs="Arial"/>
          <w:sz w:val="21"/>
          <w:szCs w:val="21"/>
        </w:rPr>
        <w:t>t</w:t>
      </w:r>
      <w:r w:rsidR="00623A8F">
        <w:rPr>
          <w:rFonts w:ascii="Arial" w:hAnsi="Arial" w:cs="Arial"/>
          <w:sz w:val="21"/>
          <w:szCs w:val="21"/>
        </w:rPr>
        <w:t>, vilket gav ett nettotal på 22</w:t>
      </w:r>
      <w:r>
        <w:rPr>
          <w:rFonts w:ascii="Arial" w:hAnsi="Arial" w:cs="Arial"/>
          <w:sz w:val="21"/>
          <w:szCs w:val="21"/>
        </w:rPr>
        <w:t>. Därmed</w:t>
      </w:r>
      <w:r w:rsidRPr="00495C4F">
        <w:rPr>
          <w:rFonts w:ascii="Arial" w:hAnsi="Arial" w:cs="Arial"/>
          <w:sz w:val="21"/>
          <w:szCs w:val="21"/>
        </w:rPr>
        <w:t xml:space="preserve"> är orderutvecklingen fortsatt på en god nivå, om än i</w:t>
      </w:r>
      <w:r w:rsidR="00D36C0A">
        <w:rPr>
          <w:rFonts w:ascii="Arial" w:hAnsi="Arial" w:cs="Arial"/>
          <w:sz w:val="21"/>
          <w:szCs w:val="21"/>
        </w:rPr>
        <w:t>nte lika gynnsam som under fjolåret</w:t>
      </w:r>
      <w:r w:rsidRPr="00495C4F">
        <w:rPr>
          <w:rFonts w:ascii="Arial" w:hAnsi="Arial" w:cs="Arial"/>
          <w:sz w:val="21"/>
          <w:szCs w:val="21"/>
        </w:rPr>
        <w:t xml:space="preserve">. </w:t>
      </w:r>
      <w:r w:rsidR="00623A8F">
        <w:rPr>
          <w:rFonts w:ascii="Arial" w:hAnsi="Arial" w:cs="Arial"/>
          <w:sz w:val="21"/>
          <w:szCs w:val="21"/>
        </w:rPr>
        <w:t>Även h</w:t>
      </w:r>
      <w:r w:rsidR="00D36C0A">
        <w:rPr>
          <w:rFonts w:ascii="Arial" w:hAnsi="Arial" w:cs="Arial"/>
          <w:sz w:val="21"/>
          <w:szCs w:val="21"/>
        </w:rPr>
        <w:t>ä</w:t>
      </w:r>
      <w:r w:rsidR="00623A8F">
        <w:rPr>
          <w:rFonts w:ascii="Arial" w:hAnsi="Arial" w:cs="Arial"/>
          <w:sz w:val="21"/>
          <w:szCs w:val="21"/>
        </w:rPr>
        <w:t>r blev u</w:t>
      </w:r>
      <w:r w:rsidRPr="00495C4F">
        <w:rPr>
          <w:rFonts w:ascii="Arial" w:hAnsi="Arial" w:cs="Arial"/>
          <w:sz w:val="21"/>
          <w:szCs w:val="21"/>
        </w:rPr>
        <w:t>tfall</w:t>
      </w:r>
      <w:r>
        <w:rPr>
          <w:rFonts w:ascii="Arial" w:hAnsi="Arial" w:cs="Arial"/>
          <w:sz w:val="21"/>
          <w:szCs w:val="21"/>
        </w:rPr>
        <w:t>et lägre än</w:t>
      </w:r>
      <w:r w:rsidRPr="00495C4F">
        <w:rPr>
          <w:rFonts w:ascii="Arial" w:hAnsi="Arial" w:cs="Arial"/>
          <w:sz w:val="21"/>
          <w:szCs w:val="21"/>
        </w:rPr>
        <w:t xml:space="preserve"> </w:t>
      </w:r>
      <w:r w:rsidR="00D36C0A">
        <w:rPr>
          <w:rFonts w:ascii="Arial" w:hAnsi="Arial" w:cs="Arial"/>
          <w:sz w:val="21"/>
          <w:szCs w:val="21"/>
        </w:rPr>
        <w:t xml:space="preserve">vad </w:t>
      </w:r>
      <w:r w:rsidRPr="00495C4F">
        <w:rPr>
          <w:rFonts w:ascii="Arial" w:hAnsi="Arial" w:cs="Arial"/>
          <w:sz w:val="21"/>
          <w:szCs w:val="21"/>
        </w:rPr>
        <w:t>företagen prognos</w:t>
      </w:r>
      <w:r w:rsidR="00D36C0A">
        <w:rPr>
          <w:rFonts w:ascii="Arial" w:hAnsi="Arial" w:cs="Arial"/>
          <w:sz w:val="21"/>
          <w:szCs w:val="21"/>
        </w:rPr>
        <w:t>ti</w:t>
      </w:r>
      <w:r w:rsidR="00BA315B">
        <w:rPr>
          <w:rFonts w:ascii="Arial" w:hAnsi="Arial" w:cs="Arial"/>
          <w:sz w:val="21"/>
          <w:szCs w:val="21"/>
        </w:rPr>
        <w:t>c</w:t>
      </w:r>
      <w:r w:rsidR="00D36C0A">
        <w:rPr>
          <w:rFonts w:ascii="Arial" w:hAnsi="Arial" w:cs="Arial"/>
          <w:sz w:val="21"/>
          <w:szCs w:val="21"/>
        </w:rPr>
        <w:t>erade</w:t>
      </w:r>
      <w:r w:rsidRPr="00495C4F">
        <w:rPr>
          <w:rFonts w:ascii="Arial" w:hAnsi="Arial" w:cs="Arial"/>
          <w:sz w:val="21"/>
          <w:szCs w:val="21"/>
        </w:rPr>
        <w:t xml:space="preserve"> i fjolårets rapport</w:t>
      </w:r>
      <w:r w:rsidR="00623A8F">
        <w:rPr>
          <w:rFonts w:ascii="Arial" w:hAnsi="Arial" w:cs="Arial"/>
          <w:sz w:val="21"/>
          <w:szCs w:val="21"/>
        </w:rPr>
        <w:t xml:space="preserve"> då</w:t>
      </w:r>
      <w:r>
        <w:rPr>
          <w:rFonts w:ascii="Arial" w:hAnsi="Arial" w:cs="Arial"/>
          <w:sz w:val="21"/>
          <w:szCs w:val="21"/>
        </w:rPr>
        <w:t xml:space="preserve"> </w:t>
      </w:r>
      <w:r w:rsidRPr="00495C4F">
        <w:rPr>
          <w:rFonts w:ascii="Arial" w:hAnsi="Arial" w:cs="Arial"/>
          <w:sz w:val="21"/>
          <w:szCs w:val="21"/>
        </w:rPr>
        <w:t>nettotal</w:t>
      </w:r>
      <w:r>
        <w:rPr>
          <w:rFonts w:ascii="Arial" w:hAnsi="Arial" w:cs="Arial"/>
          <w:sz w:val="21"/>
          <w:szCs w:val="21"/>
        </w:rPr>
        <w:t>et</w:t>
      </w:r>
      <w:r w:rsidRPr="00495C4F">
        <w:rPr>
          <w:rFonts w:ascii="Arial" w:hAnsi="Arial" w:cs="Arial"/>
          <w:sz w:val="21"/>
          <w:szCs w:val="21"/>
        </w:rPr>
        <w:t xml:space="preserve"> </w:t>
      </w:r>
      <w:r w:rsidR="00623A8F">
        <w:rPr>
          <w:rFonts w:ascii="Arial" w:hAnsi="Arial" w:cs="Arial"/>
          <w:sz w:val="21"/>
          <w:szCs w:val="21"/>
        </w:rPr>
        <w:t xml:space="preserve">var </w:t>
      </w:r>
      <w:r w:rsidRPr="00495C4F">
        <w:rPr>
          <w:rFonts w:ascii="Arial" w:hAnsi="Arial" w:cs="Arial"/>
          <w:sz w:val="21"/>
          <w:szCs w:val="21"/>
        </w:rPr>
        <w:t xml:space="preserve">28.  </w:t>
      </w:r>
    </w:p>
    <w:p w14:paraId="04C73189" w14:textId="60772711" w:rsidR="00495C4F" w:rsidRPr="00495C4F" w:rsidRDefault="00495C4F" w:rsidP="00495C4F">
      <w:pPr>
        <w:spacing w:after="120" w:line="276" w:lineRule="auto"/>
        <w:rPr>
          <w:rFonts w:ascii="Arial" w:hAnsi="Arial" w:cs="Arial"/>
          <w:sz w:val="21"/>
          <w:szCs w:val="21"/>
        </w:rPr>
      </w:pPr>
      <w:r w:rsidRPr="00495C4F">
        <w:rPr>
          <w:rFonts w:ascii="Arial" w:hAnsi="Arial" w:cs="Arial"/>
          <w:sz w:val="21"/>
          <w:szCs w:val="21"/>
        </w:rPr>
        <w:t xml:space="preserve">Prognosen för </w:t>
      </w:r>
      <w:r>
        <w:rPr>
          <w:rFonts w:ascii="Arial" w:hAnsi="Arial" w:cs="Arial"/>
          <w:sz w:val="21"/>
          <w:szCs w:val="21"/>
        </w:rPr>
        <w:t xml:space="preserve">orderutvecklingen de </w:t>
      </w:r>
      <w:r w:rsidRPr="00495C4F">
        <w:rPr>
          <w:rFonts w:ascii="Arial" w:hAnsi="Arial" w:cs="Arial"/>
          <w:sz w:val="21"/>
          <w:szCs w:val="21"/>
        </w:rPr>
        <w:t>kommande tolv månader</w:t>
      </w:r>
      <w:r>
        <w:rPr>
          <w:rFonts w:ascii="Arial" w:hAnsi="Arial" w:cs="Arial"/>
          <w:sz w:val="21"/>
          <w:szCs w:val="21"/>
        </w:rPr>
        <w:t>na</w:t>
      </w:r>
      <w:r w:rsidRPr="00495C4F">
        <w:rPr>
          <w:rFonts w:ascii="Arial" w:hAnsi="Arial" w:cs="Arial"/>
          <w:sz w:val="21"/>
          <w:szCs w:val="21"/>
        </w:rPr>
        <w:t xml:space="preserve"> är tydligt påverkad av coronakrisen och visar på stark nedgång.  Endast 26 procent av företagen tror att </w:t>
      </w:r>
      <w:r>
        <w:rPr>
          <w:rFonts w:ascii="Arial" w:hAnsi="Arial" w:cs="Arial"/>
          <w:sz w:val="21"/>
          <w:szCs w:val="21"/>
        </w:rPr>
        <w:t xml:space="preserve">deras </w:t>
      </w:r>
      <w:r w:rsidRPr="00495C4F">
        <w:rPr>
          <w:rFonts w:ascii="Arial" w:hAnsi="Arial" w:cs="Arial"/>
          <w:sz w:val="21"/>
          <w:szCs w:val="21"/>
        </w:rPr>
        <w:t xml:space="preserve">orderingång kommer att öka, medan nästan 30 procent förväntar sig </w:t>
      </w:r>
      <w:r w:rsidR="00DF2DA5">
        <w:rPr>
          <w:rFonts w:ascii="Arial" w:hAnsi="Arial" w:cs="Arial"/>
          <w:sz w:val="21"/>
          <w:szCs w:val="21"/>
        </w:rPr>
        <w:t>att de</w:t>
      </w:r>
      <w:r w:rsidRPr="00495C4F">
        <w:rPr>
          <w:rFonts w:ascii="Arial" w:hAnsi="Arial" w:cs="Arial"/>
          <w:sz w:val="21"/>
          <w:szCs w:val="21"/>
        </w:rPr>
        <w:t>n minska</w:t>
      </w:r>
      <w:r w:rsidR="00DF2DA5">
        <w:rPr>
          <w:rFonts w:ascii="Arial" w:hAnsi="Arial" w:cs="Arial"/>
          <w:sz w:val="21"/>
          <w:szCs w:val="21"/>
        </w:rPr>
        <w:t>r</w:t>
      </w:r>
      <w:r w:rsidRPr="00495C4F">
        <w:rPr>
          <w:rFonts w:ascii="Arial" w:hAnsi="Arial" w:cs="Arial"/>
          <w:sz w:val="21"/>
          <w:szCs w:val="21"/>
        </w:rPr>
        <w:t xml:space="preserve">. Detta </w:t>
      </w:r>
      <w:r w:rsidR="00DF2DA5">
        <w:rPr>
          <w:rFonts w:ascii="Arial" w:hAnsi="Arial" w:cs="Arial"/>
          <w:sz w:val="21"/>
          <w:szCs w:val="21"/>
        </w:rPr>
        <w:t>ger</w:t>
      </w:r>
      <w:r w:rsidRPr="00495C4F">
        <w:rPr>
          <w:rFonts w:ascii="Arial" w:hAnsi="Arial" w:cs="Arial"/>
          <w:sz w:val="21"/>
          <w:szCs w:val="21"/>
        </w:rPr>
        <w:t xml:space="preserve"> ett förväntat nettotal på -3. </w:t>
      </w:r>
      <w:r>
        <w:rPr>
          <w:rFonts w:ascii="Arial" w:hAnsi="Arial" w:cs="Arial"/>
          <w:sz w:val="21"/>
          <w:szCs w:val="21"/>
        </w:rPr>
        <w:t xml:space="preserve">Om prognosen stämmer </w:t>
      </w:r>
      <w:r w:rsidRPr="00495C4F">
        <w:rPr>
          <w:rFonts w:ascii="Arial" w:hAnsi="Arial" w:cs="Arial"/>
          <w:sz w:val="21"/>
          <w:szCs w:val="21"/>
        </w:rPr>
        <w:t>innebär</w:t>
      </w:r>
      <w:r>
        <w:rPr>
          <w:rFonts w:ascii="Arial" w:hAnsi="Arial" w:cs="Arial"/>
          <w:sz w:val="21"/>
          <w:szCs w:val="21"/>
        </w:rPr>
        <w:t xml:space="preserve"> det</w:t>
      </w:r>
      <w:r w:rsidRPr="00495C4F">
        <w:rPr>
          <w:rFonts w:ascii="Arial" w:hAnsi="Arial" w:cs="Arial"/>
          <w:sz w:val="21"/>
          <w:szCs w:val="21"/>
        </w:rPr>
        <w:t xml:space="preserve"> att företagens orderingång hamnar på en lägre nivå än vid finanskrisen 2008–2009.  </w:t>
      </w:r>
    </w:p>
    <w:p w14:paraId="68C3FF54" w14:textId="536D2F74" w:rsidR="00495C4F" w:rsidRDefault="00495C4F" w:rsidP="00495C4F">
      <w:pPr>
        <w:spacing w:after="12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Det sker en</w:t>
      </w:r>
      <w:r w:rsidRPr="00495C4F">
        <w:rPr>
          <w:rFonts w:ascii="Arial" w:hAnsi="Arial" w:cs="Arial"/>
          <w:sz w:val="21"/>
          <w:szCs w:val="21"/>
        </w:rPr>
        <w:t xml:space="preserve"> </w:t>
      </w:r>
      <w:r w:rsidR="00DF2DA5">
        <w:rPr>
          <w:rFonts w:ascii="Arial" w:hAnsi="Arial" w:cs="Arial"/>
          <w:sz w:val="21"/>
          <w:szCs w:val="21"/>
        </w:rPr>
        <w:t>kraftig</w:t>
      </w:r>
      <w:r w:rsidRPr="00495C4F">
        <w:rPr>
          <w:rFonts w:ascii="Arial" w:hAnsi="Arial" w:cs="Arial"/>
          <w:sz w:val="21"/>
          <w:szCs w:val="21"/>
        </w:rPr>
        <w:t xml:space="preserve"> förändring i svaren mellan vecka 11 och vecka 12</w:t>
      </w:r>
      <w:r w:rsidR="00DF2DA5">
        <w:rPr>
          <w:rFonts w:ascii="Arial" w:hAnsi="Arial" w:cs="Arial"/>
          <w:sz w:val="21"/>
          <w:szCs w:val="21"/>
        </w:rPr>
        <w:t>. Då är</w:t>
      </w:r>
      <w:r w:rsidRPr="00495C4F">
        <w:rPr>
          <w:rFonts w:ascii="Arial" w:hAnsi="Arial" w:cs="Arial"/>
          <w:sz w:val="21"/>
          <w:szCs w:val="21"/>
        </w:rPr>
        <w:t xml:space="preserve"> andelen företag som förväntar sig en minskad orderingång större än andelen som tror </w:t>
      </w:r>
      <w:r w:rsidR="00DF2DA5">
        <w:rPr>
          <w:rFonts w:ascii="Arial" w:hAnsi="Arial" w:cs="Arial"/>
          <w:sz w:val="21"/>
          <w:szCs w:val="21"/>
        </w:rPr>
        <w:t>att den ökar under de</w:t>
      </w:r>
      <w:r w:rsidRPr="00495C4F">
        <w:rPr>
          <w:rFonts w:ascii="Arial" w:hAnsi="Arial" w:cs="Arial"/>
          <w:sz w:val="21"/>
          <w:szCs w:val="21"/>
        </w:rPr>
        <w:t xml:space="preserve"> kommande tolv månader</w:t>
      </w:r>
      <w:r w:rsidR="00DF2DA5">
        <w:rPr>
          <w:rFonts w:ascii="Arial" w:hAnsi="Arial" w:cs="Arial"/>
          <w:sz w:val="21"/>
          <w:szCs w:val="21"/>
        </w:rPr>
        <w:t>na</w:t>
      </w:r>
      <w:r w:rsidRPr="00495C4F">
        <w:rPr>
          <w:rFonts w:ascii="Arial" w:hAnsi="Arial" w:cs="Arial"/>
          <w:sz w:val="21"/>
          <w:szCs w:val="21"/>
        </w:rPr>
        <w:t xml:space="preserve">.  </w:t>
      </w:r>
    </w:p>
    <w:p w14:paraId="1EC24684" w14:textId="40FE6ADD" w:rsidR="00F46782" w:rsidRPr="00F46782" w:rsidRDefault="00F46782" w:rsidP="00495C4F">
      <w:pPr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>Figur 3. Orderutveckling</w:t>
      </w:r>
    </w:p>
    <w:p w14:paraId="79B4A31F" w14:textId="77777777" w:rsidR="00495C4F" w:rsidRDefault="00495C4F" w:rsidP="00495C4F">
      <w:pPr>
        <w:rPr>
          <w:b/>
          <w:bCs/>
        </w:rPr>
      </w:pPr>
      <w:r>
        <w:rPr>
          <w:noProof/>
        </w:rPr>
        <w:drawing>
          <wp:inline distT="0" distB="0" distL="0" distR="0" wp14:anchorId="73A0CBF8" wp14:editId="763777E6">
            <wp:extent cx="4924800" cy="2732400"/>
            <wp:effectExtent l="0" t="0" r="0" b="0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2395FA34-CFD0-44AF-8B35-2FFA8B8EC8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AD07C7" w14:textId="77777777" w:rsidR="00495C4F" w:rsidRDefault="00495C4F" w:rsidP="00495C4F">
      <w:pPr>
        <w:rPr>
          <w:b/>
          <w:bCs/>
        </w:rPr>
      </w:pPr>
    </w:p>
    <w:p w14:paraId="2D85AEF1" w14:textId="77777777" w:rsidR="00BA315B" w:rsidRDefault="00BA315B" w:rsidP="00DF2DA5">
      <w:pPr>
        <w:spacing w:after="120" w:line="276" w:lineRule="auto"/>
        <w:rPr>
          <w:rFonts w:ascii="Arial" w:hAnsi="Arial" w:cs="Arial"/>
          <w:b/>
          <w:bCs/>
          <w:sz w:val="21"/>
          <w:szCs w:val="21"/>
        </w:rPr>
      </w:pPr>
    </w:p>
    <w:p w14:paraId="0279D834" w14:textId="56D33F0C" w:rsidR="00495C4F" w:rsidRDefault="002B7D9C" w:rsidP="00DF2DA5">
      <w:pPr>
        <w:spacing w:after="120"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Vart tredje småföretag räknar med minskad omsättning</w:t>
      </w:r>
    </w:p>
    <w:p w14:paraId="7848844F" w14:textId="6F7A5C23" w:rsidR="00DF2DA5" w:rsidRPr="00495C4F" w:rsidRDefault="00592FEE" w:rsidP="00DF2DA5">
      <w:pPr>
        <w:spacing w:after="120" w:line="276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Småföretagens o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>msättning</w:t>
      </w:r>
      <w:r w:rsidR="004D1D9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under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det senaste året 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>visa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på en god tillväxt även om nettotalet sj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önk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marginellt jämfört med </w:t>
      </w:r>
      <w:r w:rsidR="00DF2DA5">
        <w:rPr>
          <w:rFonts w:ascii="Arial" w:hAnsi="Arial" w:cs="Arial"/>
          <w:color w:val="000000"/>
          <w:sz w:val="21"/>
          <w:szCs w:val="21"/>
          <w:shd w:val="clear" w:color="auto" w:fill="FFFFFF"/>
        </w:rPr>
        <w:t>i fjol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Nära hälften av </w:t>
      </w:r>
      <w:r w:rsidR="00DF1711">
        <w:rPr>
          <w:rFonts w:ascii="Arial" w:hAnsi="Arial" w:cs="Arial"/>
          <w:color w:val="000000"/>
          <w:sz w:val="21"/>
          <w:szCs w:val="21"/>
          <w:shd w:val="clear" w:color="auto" w:fill="FFFFFF"/>
        </w:rPr>
        <w:t>små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>företag</w:t>
      </w:r>
      <w:r w:rsidR="00DF1711">
        <w:rPr>
          <w:rFonts w:ascii="Arial" w:hAnsi="Arial" w:cs="Arial"/>
          <w:color w:val="000000"/>
          <w:sz w:val="21"/>
          <w:szCs w:val="21"/>
          <w:shd w:val="clear" w:color="auto" w:fill="FFFFFF"/>
        </w:rPr>
        <w:t>en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har under de senaste tolv månaderna upp</w:t>
      </w:r>
      <w:r w:rsidR="00DF1711">
        <w:rPr>
          <w:rFonts w:ascii="Arial" w:hAnsi="Arial" w:cs="Arial"/>
          <w:color w:val="000000"/>
          <w:sz w:val="21"/>
          <w:szCs w:val="21"/>
          <w:shd w:val="clear" w:color="auto" w:fill="FFFFFF"/>
        </w:rPr>
        <w:t>visa</w:t>
      </w:r>
      <w:r w:rsidR="00BA315B">
        <w:rPr>
          <w:rFonts w:ascii="Arial" w:hAnsi="Arial" w:cs="Arial"/>
          <w:color w:val="000000"/>
          <w:sz w:val="21"/>
          <w:szCs w:val="21"/>
          <w:shd w:val="clear" w:color="auto" w:fill="FFFFFF"/>
        </w:rPr>
        <w:t>t e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 ökad omsättning, samtidigt som var femte företag </w:t>
      </w:r>
      <w:r w:rsidR="00DF1711">
        <w:rPr>
          <w:rFonts w:ascii="Arial" w:hAnsi="Arial" w:cs="Arial"/>
          <w:color w:val="000000"/>
          <w:sz w:val="21"/>
          <w:szCs w:val="21"/>
          <w:shd w:val="clear" w:color="auto" w:fill="FFFFFF"/>
        </w:rPr>
        <w:t>anser</w:t>
      </w:r>
      <w:r w:rsidR="00B9018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att den</w:t>
      </w:r>
      <w:r w:rsidR="00DF171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har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minska</w:t>
      </w:r>
      <w:r w:rsidR="00B90185">
        <w:rPr>
          <w:rFonts w:ascii="Arial" w:hAnsi="Arial" w:cs="Arial"/>
          <w:color w:val="000000"/>
          <w:sz w:val="21"/>
          <w:szCs w:val="21"/>
          <w:shd w:val="clear" w:color="auto" w:fill="FFFFFF"/>
        </w:rPr>
        <w:t>t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Detta ger ett preliminärt nettotal på 28, </w:t>
      </w:r>
      <w:r w:rsidR="00BA31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 fjol var 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>nettotal</w:t>
      </w:r>
      <w:r w:rsidR="00BA315B">
        <w:rPr>
          <w:rFonts w:ascii="Arial" w:hAnsi="Arial" w:cs="Arial"/>
          <w:color w:val="000000"/>
          <w:sz w:val="21"/>
          <w:szCs w:val="21"/>
          <w:shd w:val="clear" w:color="auto" w:fill="FFFFFF"/>
        </w:rPr>
        <w:t>et</w:t>
      </w:r>
      <w:r w:rsidR="00B9018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>29. Även om nedgången är begränsa</w:t>
      </w:r>
      <w:r w:rsidR="00DF1711">
        <w:rPr>
          <w:rFonts w:ascii="Arial" w:hAnsi="Arial" w:cs="Arial"/>
          <w:color w:val="000000"/>
          <w:sz w:val="21"/>
          <w:szCs w:val="21"/>
          <w:shd w:val="clear" w:color="auto" w:fill="FFFFFF"/>
        </w:rPr>
        <w:t>d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är utfallet något svagare än vad </w:t>
      </w:r>
      <w:r w:rsidR="00B90185">
        <w:rPr>
          <w:rFonts w:ascii="Arial" w:hAnsi="Arial" w:cs="Arial"/>
          <w:color w:val="000000"/>
          <w:sz w:val="21"/>
          <w:szCs w:val="21"/>
          <w:shd w:val="clear" w:color="auto" w:fill="FFFFFF"/>
        </w:rPr>
        <w:t>företagen f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>örväntade</w:t>
      </w:r>
      <w:r w:rsidR="00BA31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sig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förra året. </w:t>
      </w:r>
      <w:r w:rsidR="00B90185">
        <w:rPr>
          <w:rFonts w:ascii="Arial" w:hAnsi="Arial" w:cs="Arial"/>
          <w:color w:val="000000"/>
          <w:sz w:val="21"/>
          <w:szCs w:val="21"/>
          <w:shd w:val="clear" w:color="auto" w:fill="FFFFFF"/>
        </w:rPr>
        <w:t>Då var prognosen ett nettota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="00B9018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på</w:t>
      </w:r>
      <w:r w:rsidR="00DF2DA5"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33. </w:t>
      </w:r>
    </w:p>
    <w:p w14:paraId="48FEF6A2" w14:textId="7B567D31" w:rsidR="00DF2DA5" w:rsidRDefault="00DF2DA5" w:rsidP="00F46782">
      <w:pPr>
        <w:spacing w:after="120" w:line="276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>Coronakrisen har på kort tid lett till</w:t>
      </w:r>
      <w:r w:rsidR="00B9018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911D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en kraftigt minskad </w:t>
      </w:r>
      <w:r w:rsidR="00B9018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efterfrågan på många företags varor och tjänster. Detta </w:t>
      </w:r>
      <w:r w:rsidR="002B7D9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avspeglas också </w:t>
      </w:r>
      <w:r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>i företagens prognoser för omsättningsutvecklingen under kommande tolv månader. Knappt var</w:t>
      </w:r>
      <w:r w:rsidR="00BA315B">
        <w:rPr>
          <w:rFonts w:ascii="Arial" w:hAnsi="Arial" w:cs="Arial"/>
          <w:color w:val="000000"/>
          <w:sz w:val="21"/>
          <w:szCs w:val="21"/>
          <w:shd w:val="clear" w:color="auto" w:fill="FFFFFF"/>
        </w:rPr>
        <w:t>t</w:t>
      </w:r>
      <w:r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tredje företag (30 procent) tror att omsättningen kommer att öka, samtidigt som ungefär lika många (31 procent) förväntar </w:t>
      </w:r>
      <w:r w:rsidR="00B90185">
        <w:rPr>
          <w:rFonts w:ascii="Arial" w:hAnsi="Arial" w:cs="Arial"/>
          <w:color w:val="000000"/>
          <w:sz w:val="21"/>
          <w:szCs w:val="21"/>
          <w:shd w:val="clear" w:color="auto" w:fill="FFFFFF"/>
        </w:rPr>
        <w:t>sig att den minskar</w:t>
      </w:r>
      <w:r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A31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under </w:t>
      </w:r>
      <w:r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det närmsta året. </w:t>
      </w:r>
      <w:r w:rsidRPr="00495C4F">
        <w:rPr>
          <w:rFonts w:ascii="Arial" w:hAnsi="Arial" w:cs="Arial"/>
          <w:sz w:val="21"/>
          <w:szCs w:val="21"/>
        </w:rPr>
        <w:t>Detta resulterar i ett förväntat nettotal på -1</w:t>
      </w:r>
      <w:r w:rsidR="002A6F30">
        <w:rPr>
          <w:rFonts w:ascii="Arial" w:hAnsi="Arial" w:cs="Arial"/>
          <w:sz w:val="21"/>
          <w:szCs w:val="21"/>
        </w:rPr>
        <w:t>, vilket kan tolkas som att småföretagen inte räknar med något snabb återhämtning under prognosperioden</w:t>
      </w:r>
      <w:r w:rsidRPr="00495C4F">
        <w:rPr>
          <w:rFonts w:ascii="Arial" w:hAnsi="Arial" w:cs="Arial"/>
          <w:sz w:val="21"/>
          <w:szCs w:val="21"/>
        </w:rPr>
        <w:t xml:space="preserve">. En sådan </w:t>
      </w:r>
      <w:r w:rsidR="002A6F30">
        <w:rPr>
          <w:rFonts w:ascii="Arial" w:hAnsi="Arial" w:cs="Arial"/>
          <w:sz w:val="21"/>
          <w:szCs w:val="21"/>
        </w:rPr>
        <w:t xml:space="preserve">förväntad </w:t>
      </w:r>
      <w:r w:rsidRPr="00495C4F">
        <w:rPr>
          <w:rFonts w:ascii="Arial" w:hAnsi="Arial" w:cs="Arial"/>
          <w:sz w:val="21"/>
          <w:szCs w:val="21"/>
        </w:rPr>
        <w:t xml:space="preserve">utveckling skulle innebära </w:t>
      </w:r>
      <w:r w:rsidR="007D292C">
        <w:rPr>
          <w:rFonts w:ascii="Arial" w:hAnsi="Arial" w:cs="Arial"/>
          <w:sz w:val="21"/>
          <w:szCs w:val="21"/>
        </w:rPr>
        <w:t xml:space="preserve">historiskt låg </w:t>
      </w:r>
      <w:r w:rsidRPr="00495C4F">
        <w:rPr>
          <w:rFonts w:ascii="Arial" w:hAnsi="Arial" w:cs="Arial"/>
          <w:sz w:val="21"/>
          <w:szCs w:val="21"/>
        </w:rPr>
        <w:t>omsättningstillväxt</w:t>
      </w:r>
      <w:r w:rsidR="007D292C">
        <w:rPr>
          <w:rFonts w:ascii="Arial" w:hAnsi="Arial" w:cs="Arial"/>
          <w:sz w:val="21"/>
          <w:szCs w:val="21"/>
        </w:rPr>
        <w:t>, i</w:t>
      </w:r>
      <w:r w:rsidRPr="00495C4F">
        <w:rPr>
          <w:rFonts w:ascii="Arial" w:hAnsi="Arial" w:cs="Arial"/>
          <w:sz w:val="21"/>
          <w:szCs w:val="21"/>
        </w:rPr>
        <w:t xml:space="preserve"> nivå</w:t>
      </w:r>
      <w:r w:rsidR="007D292C">
        <w:rPr>
          <w:rFonts w:ascii="Arial" w:hAnsi="Arial" w:cs="Arial"/>
          <w:sz w:val="21"/>
          <w:szCs w:val="21"/>
        </w:rPr>
        <w:t xml:space="preserve"> med</w:t>
      </w:r>
      <w:r w:rsidRPr="00495C4F">
        <w:rPr>
          <w:rFonts w:ascii="Arial" w:hAnsi="Arial" w:cs="Arial"/>
          <w:sz w:val="21"/>
          <w:szCs w:val="21"/>
        </w:rPr>
        <w:t xml:space="preserve"> nettotalen vid tidigare finanskriser. </w:t>
      </w:r>
      <w:r w:rsidRPr="00495C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</w:t>
      </w:r>
    </w:p>
    <w:p w14:paraId="400DC9FF" w14:textId="2885F0D2" w:rsidR="00F46782" w:rsidRPr="00F46782" w:rsidRDefault="00F46782" w:rsidP="00F46782">
      <w:pPr>
        <w:spacing w:after="120"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Figur 4. Omsättningsutveckling</w:t>
      </w:r>
    </w:p>
    <w:p w14:paraId="1767E1C4" w14:textId="77777777" w:rsidR="00495C4F" w:rsidRDefault="00495C4F" w:rsidP="00495C4F">
      <w:pPr>
        <w:rPr>
          <w:b/>
          <w:bCs/>
        </w:rPr>
      </w:pPr>
      <w:r>
        <w:rPr>
          <w:noProof/>
        </w:rPr>
        <w:drawing>
          <wp:inline distT="0" distB="0" distL="0" distR="0" wp14:anchorId="62166114" wp14:editId="15038805">
            <wp:extent cx="4896000" cy="2721600"/>
            <wp:effectExtent l="0" t="0" r="0" b="3175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B5123C08-9E0E-45F5-8902-F30AB9EEBA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2947DB4" w14:textId="25A74632" w:rsidR="007D292C" w:rsidRDefault="007D292C" w:rsidP="00495C4F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</w:p>
    <w:p w14:paraId="1D3CC3E8" w14:textId="77777777" w:rsidR="007D292C" w:rsidRDefault="007D292C" w:rsidP="00495C4F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</w:p>
    <w:p w14:paraId="455CEA3A" w14:textId="77777777" w:rsidR="004D1D9E" w:rsidRPr="0069437A" w:rsidRDefault="004D1D9E" w:rsidP="004D1D9E">
      <w:pPr>
        <w:spacing w:after="120" w:line="276" w:lineRule="auto"/>
        <w:contextualSpacing/>
        <w:rPr>
          <w:rFonts w:ascii="Arial" w:hAnsi="Arial" w:cs="Arial"/>
          <w:b/>
          <w:noProof/>
          <w:sz w:val="21"/>
          <w:szCs w:val="21"/>
        </w:rPr>
      </w:pPr>
      <w:r w:rsidRPr="0069437A">
        <w:rPr>
          <w:rFonts w:ascii="Arial" w:hAnsi="Arial" w:cs="Arial"/>
          <w:b/>
          <w:noProof/>
          <w:sz w:val="21"/>
          <w:szCs w:val="21"/>
        </w:rPr>
        <w:t>Om Småföretagsbarometern</w:t>
      </w:r>
    </w:p>
    <w:p w14:paraId="1892856B" w14:textId="77777777" w:rsidR="004D1D9E" w:rsidRPr="0069437A" w:rsidRDefault="004D1D9E" w:rsidP="004D1D9E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  <w:r w:rsidRPr="0069437A">
        <w:rPr>
          <w:rFonts w:ascii="Arial" w:hAnsi="Arial" w:cs="Arial"/>
          <w:noProof/>
          <w:sz w:val="21"/>
          <w:szCs w:val="21"/>
        </w:rPr>
        <w:t>Småföretagsbarometern är en konjunkturenkät som redovisar hur Sveriges småföretag</w:t>
      </w:r>
    </w:p>
    <w:p w14:paraId="54BF3F11" w14:textId="24A31630" w:rsidR="004D1D9E" w:rsidRDefault="004D1D9E" w:rsidP="004D1D9E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  <w:r w:rsidRPr="0069437A">
        <w:rPr>
          <w:rFonts w:ascii="Arial" w:hAnsi="Arial" w:cs="Arial"/>
          <w:noProof/>
          <w:sz w:val="21"/>
          <w:szCs w:val="21"/>
        </w:rPr>
        <w:t xml:space="preserve">uppfattar det ekonomiska läget och deras förväntningar på utvecklingen de kommande </w:t>
      </w:r>
      <w:r w:rsidR="007D292C">
        <w:rPr>
          <w:rFonts w:ascii="Arial" w:hAnsi="Arial" w:cs="Arial"/>
          <w:noProof/>
          <w:sz w:val="21"/>
          <w:szCs w:val="21"/>
        </w:rPr>
        <w:t xml:space="preserve">tolv </w:t>
      </w:r>
      <w:r w:rsidRPr="0069437A">
        <w:rPr>
          <w:rFonts w:ascii="Arial" w:hAnsi="Arial" w:cs="Arial"/>
          <w:noProof/>
          <w:sz w:val="21"/>
          <w:szCs w:val="21"/>
        </w:rPr>
        <w:t>månaderna.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Pr="0069437A">
        <w:rPr>
          <w:rFonts w:ascii="Arial" w:hAnsi="Arial" w:cs="Arial"/>
          <w:noProof/>
          <w:sz w:val="21"/>
          <w:szCs w:val="21"/>
        </w:rPr>
        <w:t>Underlaget utgörs av intervjuer med företagare som har minst en och högst 49 anställda. Det är alltså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Pr="0069437A">
        <w:rPr>
          <w:rFonts w:ascii="Arial" w:hAnsi="Arial" w:cs="Arial"/>
          <w:noProof/>
          <w:sz w:val="21"/>
          <w:szCs w:val="21"/>
        </w:rPr>
        <w:t>företagarnas personliga uppfattning om konjunkturläget som kommer till uttryck i den redovisade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Pr="0069437A">
        <w:rPr>
          <w:rFonts w:ascii="Arial" w:hAnsi="Arial" w:cs="Arial"/>
          <w:noProof/>
          <w:sz w:val="21"/>
          <w:szCs w:val="21"/>
        </w:rPr>
        <w:t>indikatorn för konjunkturen.</w:t>
      </w:r>
      <w:r>
        <w:rPr>
          <w:rFonts w:ascii="Arial" w:hAnsi="Arial" w:cs="Arial"/>
          <w:noProof/>
          <w:sz w:val="21"/>
          <w:szCs w:val="21"/>
        </w:rPr>
        <w:t xml:space="preserve"> </w:t>
      </w:r>
    </w:p>
    <w:p w14:paraId="6386E095" w14:textId="77777777" w:rsidR="007D292C" w:rsidRDefault="007D292C" w:rsidP="004D1D9E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</w:p>
    <w:p w14:paraId="48152540" w14:textId="4862A7BE" w:rsidR="004D1D9E" w:rsidRDefault="004D1D9E" w:rsidP="004D1D9E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  <w:r w:rsidRPr="0069437A">
        <w:rPr>
          <w:rFonts w:ascii="Arial" w:hAnsi="Arial" w:cs="Arial"/>
          <w:noProof/>
          <w:sz w:val="21"/>
          <w:szCs w:val="21"/>
        </w:rPr>
        <w:t>Småföretagsbarometern är Sveriges största konjunkturundersökning inriktad speciellt på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Pr="0069437A">
        <w:rPr>
          <w:rFonts w:ascii="Arial" w:hAnsi="Arial" w:cs="Arial"/>
          <w:noProof/>
          <w:sz w:val="21"/>
          <w:szCs w:val="21"/>
        </w:rPr>
        <w:t>småföretagskonjunkturen och har genomförts sedan 1985. Undersökningen omfattar 4 000 företag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Pr="0069437A">
        <w:rPr>
          <w:rFonts w:ascii="Arial" w:hAnsi="Arial" w:cs="Arial"/>
          <w:noProof/>
          <w:sz w:val="21"/>
          <w:szCs w:val="21"/>
        </w:rPr>
        <w:t>inom det privata näringslivet med 1–49 anställda. Urvalet motsvarar totalt över 473 000 privata företag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Pr="0069437A">
        <w:rPr>
          <w:rFonts w:ascii="Arial" w:hAnsi="Arial" w:cs="Arial"/>
          <w:noProof/>
          <w:sz w:val="21"/>
          <w:szCs w:val="21"/>
        </w:rPr>
        <w:t>fördelade över hela landet. Storleken på urvalet och antalet respondenter gör att svaren kan delas upp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Pr="0069437A">
        <w:rPr>
          <w:rFonts w:ascii="Arial" w:hAnsi="Arial" w:cs="Arial"/>
          <w:noProof/>
          <w:sz w:val="21"/>
          <w:szCs w:val="21"/>
        </w:rPr>
        <w:t>geografiskt så att vi kan mäta skillnader i konjunkturuppfattning hos Sveriges småföretag i samtliga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Pr="0069437A">
        <w:rPr>
          <w:rFonts w:ascii="Arial" w:hAnsi="Arial" w:cs="Arial"/>
          <w:noProof/>
          <w:sz w:val="21"/>
          <w:szCs w:val="21"/>
        </w:rPr>
        <w:t>län.</w:t>
      </w:r>
    </w:p>
    <w:p w14:paraId="0BCA0848" w14:textId="77777777" w:rsidR="007D292C" w:rsidRPr="0069437A" w:rsidRDefault="007D292C" w:rsidP="004D1D9E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</w:p>
    <w:p w14:paraId="6E42D7BF" w14:textId="77777777" w:rsidR="004D1D9E" w:rsidRPr="0069437A" w:rsidRDefault="004D1D9E" w:rsidP="004D1D9E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  <w:r w:rsidRPr="0069437A">
        <w:rPr>
          <w:rFonts w:ascii="Arial" w:hAnsi="Arial" w:cs="Arial"/>
          <w:noProof/>
          <w:sz w:val="21"/>
          <w:szCs w:val="21"/>
        </w:rPr>
        <w:t>Småföretagsbarometern produceras i samverkan mellan Företagarna, Sparbankernas Riksförbund</w:t>
      </w:r>
    </w:p>
    <w:p w14:paraId="155BAFE1" w14:textId="77777777" w:rsidR="004D1D9E" w:rsidRPr="0069437A" w:rsidRDefault="004D1D9E" w:rsidP="004D1D9E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  <w:r w:rsidRPr="0069437A">
        <w:rPr>
          <w:rFonts w:ascii="Arial" w:hAnsi="Arial" w:cs="Arial"/>
          <w:noProof/>
          <w:sz w:val="21"/>
          <w:szCs w:val="21"/>
        </w:rPr>
        <w:t>och Swedbank. Vid genomförandet av intervjuerna har Novus medverkat. Det är vår förhoppning att</w:t>
      </w:r>
    </w:p>
    <w:p w14:paraId="7976F705" w14:textId="77777777" w:rsidR="004D1D9E" w:rsidRPr="0069437A" w:rsidRDefault="004D1D9E" w:rsidP="004D1D9E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  <w:r w:rsidRPr="0069437A">
        <w:rPr>
          <w:rFonts w:ascii="Arial" w:hAnsi="Arial" w:cs="Arial"/>
          <w:noProof/>
          <w:sz w:val="21"/>
          <w:szCs w:val="21"/>
        </w:rPr>
        <w:t>Småföretagsbarometern på ett positivt sätt ska bidra till att öka kunskapen om och insikten kring de</w:t>
      </w:r>
    </w:p>
    <w:p w14:paraId="63EF6211" w14:textId="77777777" w:rsidR="004D1D9E" w:rsidRDefault="004D1D9E" w:rsidP="004D1D9E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  <w:r w:rsidRPr="0069437A">
        <w:rPr>
          <w:rFonts w:ascii="Arial" w:hAnsi="Arial" w:cs="Arial"/>
          <w:noProof/>
          <w:sz w:val="21"/>
          <w:szCs w:val="21"/>
        </w:rPr>
        <w:t>små och växande företagens betydelse för den svenska ekonomin.</w:t>
      </w:r>
    </w:p>
    <w:p w14:paraId="3358CDEC" w14:textId="77777777" w:rsidR="00DF2DA5" w:rsidRPr="00495C4F" w:rsidRDefault="00DF2DA5" w:rsidP="00495C4F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</w:p>
    <w:p w14:paraId="1EFC6CC9" w14:textId="54E62CB1" w:rsidR="002837D8" w:rsidRDefault="002837D8" w:rsidP="00964381">
      <w:pPr>
        <w:spacing w:after="120" w:line="276" w:lineRule="auto"/>
        <w:contextualSpacing/>
        <w:rPr>
          <w:rFonts w:ascii="Arial" w:hAnsi="Arial" w:cs="Arial"/>
          <w:noProof/>
          <w:sz w:val="21"/>
          <w:szCs w:val="21"/>
        </w:rPr>
      </w:pPr>
    </w:p>
    <w:p w14:paraId="3CF29F24" w14:textId="77777777" w:rsidR="00FD2953" w:rsidRDefault="00FD2953" w:rsidP="00B33A9E">
      <w:pPr>
        <w:spacing w:after="120" w:line="276" w:lineRule="auto"/>
        <w:rPr>
          <w:rFonts w:ascii="Arial" w:hAnsi="Arial" w:cs="Arial"/>
          <w:noProof/>
          <w:sz w:val="21"/>
          <w:szCs w:val="21"/>
        </w:rPr>
      </w:pPr>
    </w:p>
    <w:p w14:paraId="42D00584" w14:textId="77777777" w:rsidR="00FD2953" w:rsidRDefault="00FD2953" w:rsidP="00B33A9E">
      <w:pPr>
        <w:spacing w:after="120" w:line="276" w:lineRule="auto"/>
        <w:rPr>
          <w:rFonts w:ascii="Arial" w:hAnsi="Arial" w:cs="Arial"/>
          <w:noProof/>
          <w:sz w:val="21"/>
          <w:szCs w:val="21"/>
        </w:rPr>
      </w:pPr>
    </w:p>
    <w:p w14:paraId="0A3F2119" w14:textId="3AB3654E" w:rsidR="00E0050A" w:rsidRPr="00457F2C" w:rsidRDefault="00E0050A" w:rsidP="00B50AF2">
      <w:pPr>
        <w:spacing w:after="200" w:line="276" w:lineRule="auto"/>
        <w:rPr>
          <w:rFonts w:ascii="Arial" w:hAnsi="Arial" w:cs="Arial"/>
          <w:b/>
          <w:sz w:val="21"/>
          <w:szCs w:val="21"/>
        </w:rPr>
      </w:pPr>
    </w:p>
    <w:sectPr w:rsidR="00E0050A" w:rsidRPr="00457F2C" w:rsidSect="00DF2DA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91" w:bottom="1134" w:left="124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47DB" w14:textId="77777777" w:rsidR="00CE1F01" w:rsidRDefault="00CE1F01" w:rsidP="000C2C62">
      <w:r>
        <w:separator/>
      </w:r>
    </w:p>
  </w:endnote>
  <w:endnote w:type="continuationSeparator" w:id="0">
    <w:p w14:paraId="2E58CC51" w14:textId="77777777" w:rsidR="00CE1F01" w:rsidRDefault="00CE1F01" w:rsidP="000C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7D6C" w14:textId="6B2B1C67" w:rsidR="00DE24BB" w:rsidRPr="0069437A" w:rsidRDefault="00DE24BB" w:rsidP="00B262FE">
    <w:pPr>
      <w:spacing w:after="120" w:line="276" w:lineRule="auto"/>
      <w:rPr>
        <w:rFonts w:ascii="Arial" w:hAnsi="Arial" w:cs="Arial"/>
        <w:b/>
        <w:i/>
        <w:sz w:val="16"/>
        <w:szCs w:val="16"/>
      </w:rPr>
    </w:pPr>
    <w:r w:rsidRPr="0069437A">
      <w:rPr>
        <w:rFonts w:ascii="Arial" w:hAnsi="Arial" w:cs="Arial"/>
        <w:b/>
        <w:i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94F9790" wp14:editId="1D761CF2">
              <wp:simplePos x="0" y="0"/>
              <wp:positionH relativeFrom="column">
                <wp:posOffset>-1171192</wp:posOffset>
              </wp:positionH>
              <wp:positionV relativeFrom="paragraph">
                <wp:posOffset>-180723</wp:posOffset>
              </wp:positionV>
              <wp:extent cx="6080760" cy="1544128"/>
              <wp:effectExtent l="0" t="0" r="0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154412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3471857" id="Rektangel 6" o:spid="_x0000_s1026" style="position:absolute;margin-left:-92.2pt;margin-top:-14.25pt;width:478.8pt;height:1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" filled="f" stroked="f" strokeweight="1pt"/>
          </w:pict>
        </mc:Fallback>
      </mc:AlternateContent>
    </w:r>
    <w:r w:rsidRPr="0069437A">
      <w:rPr>
        <w:b/>
      </w:rPr>
      <w:t xml:space="preserve"> </w:t>
    </w:r>
  </w:p>
  <w:p w14:paraId="193EF711" w14:textId="77777777" w:rsidR="00DE24BB" w:rsidRPr="0069437A" w:rsidRDefault="00DE24BB">
    <w:pPr>
      <w:pStyle w:val="Sidfo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6789" w14:textId="77777777" w:rsidR="00DE24BB" w:rsidRDefault="00DE24BB" w:rsidP="00334A4A">
    <w:pPr>
      <w:outlineLvl w:val="0"/>
      <w:rPr>
        <w:rFonts w:eastAsia="Times New Roman" w:cs="Times New Roman"/>
        <w:b/>
        <w:bCs/>
        <w:color w:val="444444"/>
        <w:kern w:val="3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8460C" w14:textId="77777777" w:rsidR="00CE1F01" w:rsidRDefault="00CE1F01" w:rsidP="000C2C62">
      <w:r>
        <w:separator/>
      </w:r>
    </w:p>
  </w:footnote>
  <w:footnote w:type="continuationSeparator" w:id="0">
    <w:p w14:paraId="2719821B" w14:textId="77777777" w:rsidR="00CE1F01" w:rsidRDefault="00CE1F01" w:rsidP="000C2C62">
      <w:r>
        <w:continuationSeparator/>
      </w:r>
    </w:p>
  </w:footnote>
  <w:footnote w:id="1">
    <w:p w14:paraId="3BC31A4B" w14:textId="2563BEC9" w:rsidR="00DE24BB" w:rsidRPr="00232C05" w:rsidRDefault="00DE24BB">
      <w:pPr>
        <w:pStyle w:val="Fotnotstext"/>
        <w:rPr>
          <w:rFonts w:ascii="Arial" w:hAnsi="Arial" w:cs="Arial"/>
          <w:sz w:val="14"/>
          <w:szCs w:val="14"/>
        </w:rPr>
      </w:pPr>
      <w:r w:rsidRPr="00232C05">
        <w:rPr>
          <w:rStyle w:val="Fotnotsreferens"/>
          <w:rFonts w:ascii="Arial" w:hAnsi="Arial" w:cs="Arial"/>
          <w:sz w:val="14"/>
          <w:szCs w:val="14"/>
        </w:rPr>
        <w:footnoteRef/>
      </w:r>
      <w:r w:rsidRPr="00232C05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Ett nettotal räknas fram genom att ta skillnaden mellan procentandelen positiva svar och procentandelen negativa tal. </w:t>
      </w:r>
      <w:r w:rsidRPr="00232C05"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ettotalen för sysselsättning, orderingång och omsättning summeras och bildar småföretagens konjunkturindikator. N</w:t>
      </w:r>
      <w:r w:rsidRPr="00232C05">
        <w:rPr>
          <w:rFonts w:ascii="Arial" w:hAnsi="Arial" w:cs="Arial"/>
          <w:sz w:val="14"/>
          <w:szCs w:val="14"/>
        </w:rPr>
        <w:t>ettotalet för konjunkturindikatorn kan variera från minus 100 till plus 100.</w:t>
      </w:r>
      <w:r>
        <w:rPr>
          <w:rFonts w:ascii="Arial" w:hAnsi="Arial" w:cs="Arial"/>
          <w:sz w:val="14"/>
          <w:szCs w:val="14"/>
        </w:rPr>
        <w:t xml:space="preserve"> </w:t>
      </w:r>
      <w:r w:rsidRPr="00232C05">
        <w:rPr>
          <w:rFonts w:ascii="Arial" w:hAnsi="Arial" w:cs="Arial"/>
          <w:sz w:val="14"/>
          <w:szCs w:val="14"/>
        </w:rPr>
        <w:t xml:space="preserve">Ett värde mindre än noll betyder kontraktion, medan ett värde över noll betyder expansion. Nettotalet visar alltså hur snabbt tillväxten förändras, snarare än en absolut nivå.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3822" w:type="dxa"/>
      <w:tblInd w:w="-1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0"/>
      <w:gridCol w:w="993"/>
      <w:gridCol w:w="2797"/>
      <w:gridCol w:w="1852"/>
      <w:gridCol w:w="1880"/>
    </w:tblGrid>
    <w:tr w:rsidR="00DE24BB" w14:paraId="75AC3CDA" w14:textId="77777777" w:rsidTr="00E0050A">
      <w:tc>
        <w:tcPr>
          <w:tcW w:w="6300" w:type="dxa"/>
        </w:tcPr>
        <w:p w14:paraId="7A911EBE" w14:textId="77777777" w:rsidR="00DE24BB" w:rsidRPr="009125AC" w:rsidRDefault="00DE24BB" w:rsidP="00065A36">
          <w:pPr>
            <w:pStyle w:val="Sidhuvud"/>
          </w:pPr>
          <w:r w:rsidRPr="009125AC">
            <w:rPr>
              <w:rFonts w:ascii="Arial" w:hAnsi="Arial" w:cs="Arial"/>
              <w:sz w:val="21"/>
              <w:szCs w:val="21"/>
            </w:rPr>
            <w:t xml:space="preserve">     </w:t>
          </w:r>
          <w:r>
            <w:rPr>
              <w:rFonts w:ascii="Arial" w:hAnsi="Arial" w:cs="Arial"/>
              <w:sz w:val="21"/>
              <w:szCs w:val="21"/>
            </w:rPr>
            <w:t xml:space="preserve">    </w:t>
          </w:r>
        </w:p>
      </w:tc>
      <w:tc>
        <w:tcPr>
          <w:tcW w:w="993" w:type="dxa"/>
        </w:tcPr>
        <w:p w14:paraId="2C555496" w14:textId="77777777" w:rsidR="00DE24BB" w:rsidRDefault="00DE24BB" w:rsidP="00DE24BB">
          <w:pPr>
            <w:pStyle w:val="Sidhuvud"/>
            <w:jc w:val="right"/>
          </w:pPr>
        </w:p>
      </w:tc>
      <w:tc>
        <w:tcPr>
          <w:tcW w:w="2797" w:type="dxa"/>
        </w:tcPr>
        <w:p w14:paraId="609AD82E" w14:textId="77777777" w:rsidR="00DE24BB" w:rsidRPr="009125AC" w:rsidRDefault="00DE24BB" w:rsidP="009125AC">
          <w:pPr>
            <w:pStyle w:val="Sidhuvud"/>
            <w:rPr>
              <w:rFonts w:ascii="Arial" w:hAnsi="Arial" w:cs="Arial"/>
              <w:b/>
              <w:sz w:val="21"/>
              <w:szCs w:val="21"/>
            </w:rPr>
          </w:pPr>
          <w:r>
            <w:rPr>
              <w:rFonts w:asciiTheme="majorHAnsi" w:hAnsiTheme="majorHAnsi"/>
              <w:b/>
              <w:sz w:val="22"/>
            </w:rPr>
            <w:t xml:space="preserve">    </w:t>
          </w:r>
        </w:p>
      </w:tc>
      <w:tc>
        <w:tcPr>
          <w:tcW w:w="1852" w:type="dxa"/>
        </w:tcPr>
        <w:p w14:paraId="2F6446D0" w14:textId="77777777" w:rsidR="00DE24BB" w:rsidRDefault="00DE24BB" w:rsidP="00DE24BB">
          <w:pPr>
            <w:pStyle w:val="Sidhuvud"/>
          </w:pPr>
        </w:p>
      </w:tc>
      <w:tc>
        <w:tcPr>
          <w:tcW w:w="1880" w:type="dxa"/>
        </w:tcPr>
        <w:p w14:paraId="34FD54D5" w14:textId="77777777" w:rsidR="00DE24BB" w:rsidRDefault="00DE24BB" w:rsidP="00DE24BB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(</w:t>
          </w:r>
          <w:r w:rsidR="00EE3C9C">
            <w:fldChar w:fldCharType="begin"/>
          </w:r>
          <w:r w:rsidR="00EE3C9C">
            <w:instrText xml:space="preserve"> NUMPAGES  \* Arabic  \* MERGEFORMAT </w:instrText>
          </w:r>
          <w:r w:rsidR="00EE3C9C">
            <w:fldChar w:fldCharType="separate"/>
          </w:r>
          <w:r>
            <w:rPr>
              <w:noProof/>
            </w:rPr>
            <w:t>2</w:t>
          </w:r>
          <w:r w:rsidR="00EE3C9C">
            <w:rPr>
              <w:noProof/>
            </w:rPr>
            <w:fldChar w:fldCharType="end"/>
          </w:r>
          <w:r>
            <w:t>)</w:t>
          </w:r>
        </w:p>
      </w:tc>
    </w:tr>
  </w:tbl>
  <w:p w14:paraId="6BA7705A" w14:textId="77777777" w:rsidR="00DE24BB" w:rsidRDefault="00DE24B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1757" w:type="dxa"/>
      <w:tblInd w:w="-12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8"/>
      <w:gridCol w:w="2019"/>
      <w:gridCol w:w="2020"/>
    </w:tblGrid>
    <w:tr w:rsidR="00DE24BB" w14:paraId="40507B47" w14:textId="77777777" w:rsidTr="001F0DCB">
      <w:tc>
        <w:tcPr>
          <w:tcW w:w="7718" w:type="dxa"/>
        </w:tcPr>
        <w:p w14:paraId="4A61AF83" w14:textId="410F6388" w:rsidR="00DE24BB" w:rsidRDefault="00DE24BB" w:rsidP="001F0DCB">
          <w:pPr>
            <w:pStyle w:val="Sidhuvud"/>
          </w:pPr>
        </w:p>
      </w:tc>
      <w:tc>
        <w:tcPr>
          <w:tcW w:w="2019" w:type="dxa"/>
        </w:tcPr>
        <w:p w14:paraId="2097195F" w14:textId="77777777" w:rsidR="00DE24BB" w:rsidRPr="00C03E14" w:rsidRDefault="00DE24BB" w:rsidP="001F0DCB">
          <w:pPr>
            <w:pStyle w:val="Sidhuvud"/>
            <w:jc w:val="center"/>
            <w:rPr>
              <w:rFonts w:asciiTheme="majorHAnsi" w:hAnsiTheme="majorHAnsi"/>
              <w:b/>
              <w:sz w:val="22"/>
            </w:rPr>
          </w:pPr>
          <w:bookmarkStart w:id="1" w:name="bkmlogoplac_1"/>
          <w:bookmarkEnd w:id="1"/>
        </w:p>
      </w:tc>
      <w:tc>
        <w:tcPr>
          <w:tcW w:w="2020" w:type="dxa"/>
        </w:tcPr>
        <w:p w14:paraId="5FB510C0" w14:textId="77777777" w:rsidR="00DE24BB" w:rsidRDefault="00DE24BB" w:rsidP="00DE24BB">
          <w:pPr>
            <w:pStyle w:val="Sidhuvud"/>
            <w:jc w:val="right"/>
          </w:pPr>
        </w:p>
      </w:tc>
    </w:tr>
  </w:tbl>
  <w:p w14:paraId="6A96315A" w14:textId="066A414F" w:rsidR="00DE24BB" w:rsidRDefault="00DE24BB">
    <w:pPr>
      <w:pStyle w:val="Sidhuvud"/>
    </w:pPr>
    <w:r>
      <w:rPr>
        <w:rFonts w:asciiTheme="majorHAnsi" w:hAnsiTheme="majorHAnsi"/>
        <w:b/>
        <w:noProof/>
        <w:lang w:eastAsia="sv-SE"/>
      </w:rPr>
      <w:drawing>
        <wp:anchor distT="0" distB="0" distL="114300" distR="114300" simplePos="0" relativeHeight="251670016" behindDoc="1" locked="0" layoutInCell="1" allowOverlap="1" wp14:anchorId="3E4A63EF" wp14:editId="00F5580E">
          <wp:simplePos x="0" y="0"/>
          <wp:positionH relativeFrom="column">
            <wp:posOffset>19050</wp:posOffset>
          </wp:positionH>
          <wp:positionV relativeFrom="paragraph">
            <wp:posOffset>-615950</wp:posOffset>
          </wp:positionV>
          <wp:extent cx="1695450" cy="248285"/>
          <wp:effectExtent l="0" t="0" r="0" b="0"/>
          <wp:wrapThrough wrapText="bothSides">
            <wp:wrapPolygon edited="0">
              <wp:start x="0" y="0"/>
              <wp:lineTo x="0" y="19887"/>
              <wp:lineTo x="10193" y="19887"/>
              <wp:lineTo x="12620" y="19887"/>
              <wp:lineTo x="21357" y="18230"/>
              <wp:lineTo x="21357" y="1657"/>
              <wp:lineTo x="8009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7413B24" wp14:editId="7C86BC00">
              <wp:simplePos x="0" y="0"/>
              <wp:positionH relativeFrom="column">
                <wp:posOffset>-52070</wp:posOffset>
              </wp:positionH>
              <wp:positionV relativeFrom="paragraph">
                <wp:posOffset>82550</wp:posOffset>
              </wp:positionV>
              <wp:extent cx="6086475" cy="0"/>
              <wp:effectExtent l="38100" t="38100" r="66675" b="9525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>
                        <a:solidFill>
                          <a:srgbClr val="00358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EC46FD0" id="Rak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6.5pt" to="475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" strokecolor="#003580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 wp14:anchorId="456FDF0D" wp14:editId="72CED480">
          <wp:simplePos x="0" y="0"/>
          <wp:positionH relativeFrom="column">
            <wp:posOffset>5042535</wp:posOffset>
          </wp:positionH>
          <wp:positionV relativeFrom="paragraph">
            <wp:posOffset>-43815</wp:posOffset>
          </wp:positionV>
          <wp:extent cx="863600" cy="863600"/>
          <wp:effectExtent l="0" t="0" r="0" b="0"/>
          <wp:wrapTight wrapText="bothSides">
            <wp:wrapPolygon edited="0">
              <wp:start x="8576" y="0"/>
              <wp:lineTo x="5241" y="953"/>
              <wp:lineTo x="0" y="5241"/>
              <wp:lineTo x="0" y="11435"/>
              <wp:lineTo x="476" y="15247"/>
              <wp:lineTo x="5718" y="20488"/>
              <wp:lineTo x="6671" y="20965"/>
              <wp:lineTo x="14294" y="20965"/>
              <wp:lineTo x="15247" y="20488"/>
              <wp:lineTo x="20488" y="16200"/>
              <wp:lineTo x="20965" y="11912"/>
              <wp:lineTo x="20965" y="5241"/>
              <wp:lineTo x="15724" y="476"/>
              <wp:lineTo x="12388" y="0"/>
              <wp:lineTo x="8576" y="0"/>
            </wp:wrapPolygon>
          </wp:wrapTight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F02C61" w14:textId="77777777" w:rsidR="00DE24BB" w:rsidRDefault="00DE24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BD0BEE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786FF4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20EC15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774FA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2A02A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81A23BA"/>
    <w:lvl w:ilvl="0">
      <w:start w:val="1"/>
      <w:numFmt w:val="bullet"/>
      <w:pStyle w:val="Punktlista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</w:abstractNum>
  <w:abstractNum w:abstractNumId="6" w15:restartNumberingAfterBreak="0">
    <w:nsid w:val="02B46C72"/>
    <w:multiLevelType w:val="hybridMultilevel"/>
    <w:tmpl w:val="6E2AC2DC"/>
    <w:lvl w:ilvl="0" w:tplc="EA8CBC0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FBAA3BE0">
      <w:numFmt w:val="bullet"/>
      <w:lvlText w:val="•"/>
      <w:lvlJc w:val="left"/>
      <w:pPr>
        <w:ind w:left="2025" w:hanging="945"/>
      </w:pPr>
      <w:rPr>
        <w:rFonts w:ascii="Franklin Gothic Book" w:eastAsia="Calibri" w:hAnsi="Franklin Gothic Book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3C418C"/>
    <w:multiLevelType w:val="hybridMultilevel"/>
    <w:tmpl w:val="AD54FFA2"/>
    <w:lvl w:ilvl="0" w:tplc="DB76FBA0">
      <w:numFmt w:val="bullet"/>
      <w:lvlText w:val="•"/>
      <w:lvlJc w:val="left"/>
      <w:pPr>
        <w:ind w:left="1665" w:hanging="1305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D6FE1"/>
    <w:multiLevelType w:val="hybridMultilevel"/>
    <w:tmpl w:val="6F9651B6"/>
    <w:lvl w:ilvl="0" w:tplc="EF40FAA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63674"/>
    <w:multiLevelType w:val="hybridMultilevel"/>
    <w:tmpl w:val="703891AE"/>
    <w:lvl w:ilvl="0" w:tplc="EA8CBC0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E14D7"/>
    <w:multiLevelType w:val="hybridMultilevel"/>
    <w:tmpl w:val="7A2EA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B0C4C"/>
    <w:multiLevelType w:val="hybridMultilevel"/>
    <w:tmpl w:val="7FC05CEA"/>
    <w:lvl w:ilvl="0" w:tplc="910618D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90B2F"/>
    <w:multiLevelType w:val="hybridMultilevel"/>
    <w:tmpl w:val="08BA406C"/>
    <w:lvl w:ilvl="0" w:tplc="469E9F0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539A1"/>
    <w:multiLevelType w:val="hybridMultilevel"/>
    <w:tmpl w:val="294A5F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96163"/>
    <w:multiLevelType w:val="hybridMultilevel"/>
    <w:tmpl w:val="DF986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B19B7"/>
    <w:multiLevelType w:val="hybridMultilevel"/>
    <w:tmpl w:val="52B66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412A9"/>
    <w:multiLevelType w:val="hybridMultilevel"/>
    <w:tmpl w:val="B9A45814"/>
    <w:lvl w:ilvl="0" w:tplc="C04A82F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B3FBF"/>
    <w:multiLevelType w:val="hybridMultilevel"/>
    <w:tmpl w:val="CE10D5E0"/>
    <w:lvl w:ilvl="0" w:tplc="5F1C1548">
      <w:numFmt w:val="bullet"/>
      <w:lvlText w:val="•"/>
      <w:lvlJc w:val="left"/>
      <w:pPr>
        <w:ind w:left="1665" w:hanging="1305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570AD"/>
    <w:multiLevelType w:val="hybridMultilevel"/>
    <w:tmpl w:val="DC7AD3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16"/>
  </w:num>
  <w:num w:numId="13">
    <w:abstractNumId w:val="10"/>
  </w:num>
  <w:num w:numId="14">
    <w:abstractNumId w:val="18"/>
  </w:num>
  <w:num w:numId="15">
    <w:abstractNumId w:val="15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4A"/>
    <w:rsid w:val="0001475B"/>
    <w:rsid w:val="000237F1"/>
    <w:rsid w:val="00023DB6"/>
    <w:rsid w:val="00023E1C"/>
    <w:rsid w:val="000241A1"/>
    <w:rsid w:val="00026EE8"/>
    <w:rsid w:val="000360E8"/>
    <w:rsid w:val="00040CB4"/>
    <w:rsid w:val="000534EB"/>
    <w:rsid w:val="00065A36"/>
    <w:rsid w:val="000923E3"/>
    <w:rsid w:val="000950D6"/>
    <w:rsid w:val="00097ACE"/>
    <w:rsid w:val="000A138D"/>
    <w:rsid w:val="000A2229"/>
    <w:rsid w:val="000A65B7"/>
    <w:rsid w:val="000B3162"/>
    <w:rsid w:val="000B7ADE"/>
    <w:rsid w:val="000C2C62"/>
    <w:rsid w:val="000C4B91"/>
    <w:rsid w:val="000D091E"/>
    <w:rsid w:val="000D0DAB"/>
    <w:rsid w:val="000F5DF9"/>
    <w:rsid w:val="00111CC8"/>
    <w:rsid w:val="00115115"/>
    <w:rsid w:val="00125F43"/>
    <w:rsid w:val="00130D61"/>
    <w:rsid w:val="00130DAB"/>
    <w:rsid w:val="00133F6C"/>
    <w:rsid w:val="00136051"/>
    <w:rsid w:val="001369B0"/>
    <w:rsid w:val="00140C31"/>
    <w:rsid w:val="00157326"/>
    <w:rsid w:val="00163688"/>
    <w:rsid w:val="00170182"/>
    <w:rsid w:val="001814FF"/>
    <w:rsid w:val="00184983"/>
    <w:rsid w:val="0019046C"/>
    <w:rsid w:val="00192A64"/>
    <w:rsid w:val="0019368A"/>
    <w:rsid w:val="001953F8"/>
    <w:rsid w:val="001A1AD6"/>
    <w:rsid w:val="001C0028"/>
    <w:rsid w:val="001E5035"/>
    <w:rsid w:val="001F09EA"/>
    <w:rsid w:val="001F0DCB"/>
    <w:rsid w:val="001F75DC"/>
    <w:rsid w:val="00202B3D"/>
    <w:rsid w:val="00203C79"/>
    <w:rsid w:val="00210C3E"/>
    <w:rsid w:val="00212096"/>
    <w:rsid w:val="00212C9D"/>
    <w:rsid w:val="00213DA4"/>
    <w:rsid w:val="00215A1A"/>
    <w:rsid w:val="00215F59"/>
    <w:rsid w:val="00223799"/>
    <w:rsid w:val="00226E8E"/>
    <w:rsid w:val="00232C05"/>
    <w:rsid w:val="00251E1C"/>
    <w:rsid w:val="002557AD"/>
    <w:rsid w:val="0026397B"/>
    <w:rsid w:val="00264C67"/>
    <w:rsid w:val="00265A0E"/>
    <w:rsid w:val="002704DC"/>
    <w:rsid w:val="002740B6"/>
    <w:rsid w:val="002837D8"/>
    <w:rsid w:val="00285D2C"/>
    <w:rsid w:val="002911D0"/>
    <w:rsid w:val="00294DBA"/>
    <w:rsid w:val="0029528D"/>
    <w:rsid w:val="002A6F30"/>
    <w:rsid w:val="002B1353"/>
    <w:rsid w:val="002B7D9C"/>
    <w:rsid w:val="002C3131"/>
    <w:rsid w:val="002C4F97"/>
    <w:rsid w:val="002D1B4A"/>
    <w:rsid w:val="002D5951"/>
    <w:rsid w:val="002D647F"/>
    <w:rsid w:val="002D7653"/>
    <w:rsid w:val="002E7E51"/>
    <w:rsid w:val="002F1530"/>
    <w:rsid w:val="002F544B"/>
    <w:rsid w:val="00321DBF"/>
    <w:rsid w:val="003265D5"/>
    <w:rsid w:val="00330043"/>
    <w:rsid w:val="00334A4A"/>
    <w:rsid w:val="00341D7A"/>
    <w:rsid w:val="00355F03"/>
    <w:rsid w:val="0035701D"/>
    <w:rsid w:val="00365086"/>
    <w:rsid w:val="00374E36"/>
    <w:rsid w:val="00375BBB"/>
    <w:rsid w:val="00376289"/>
    <w:rsid w:val="00381308"/>
    <w:rsid w:val="003853E7"/>
    <w:rsid w:val="003864BB"/>
    <w:rsid w:val="00394766"/>
    <w:rsid w:val="00394E2E"/>
    <w:rsid w:val="003A3597"/>
    <w:rsid w:val="003A42B1"/>
    <w:rsid w:val="003A6D96"/>
    <w:rsid w:val="003B0CF2"/>
    <w:rsid w:val="003C002C"/>
    <w:rsid w:val="003C48B7"/>
    <w:rsid w:val="003D3B49"/>
    <w:rsid w:val="003E42D7"/>
    <w:rsid w:val="003E4F14"/>
    <w:rsid w:val="003F3392"/>
    <w:rsid w:val="00404B60"/>
    <w:rsid w:val="00412FF5"/>
    <w:rsid w:val="004162C8"/>
    <w:rsid w:val="00425629"/>
    <w:rsid w:val="00432666"/>
    <w:rsid w:val="00437232"/>
    <w:rsid w:val="00446992"/>
    <w:rsid w:val="004552E3"/>
    <w:rsid w:val="00457F2C"/>
    <w:rsid w:val="00461D6C"/>
    <w:rsid w:val="00470184"/>
    <w:rsid w:val="00484C29"/>
    <w:rsid w:val="00486208"/>
    <w:rsid w:val="00486AD8"/>
    <w:rsid w:val="00487002"/>
    <w:rsid w:val="00493854"/>
    <w:rsid w:val="00495C4F"/>
    <w:rsid w:val="004A4158"/>
    <w:rsid w:val="004A7E73"/>
    <w:rsid w:val="004B120B"/>
    <w:rsid w:val="004C280B"/>
    <w:rsid w:val="004D1D9E"/>
    <w:rsid w:val="004D1F8C"/>
    <w:rsid w:val="004D440B"/>
    <w:rsid w:val="004E02A0"/>
    <w:rsid w:val="004E22F0"/>
    <w:rsid w:val="004E7175"/>
    <w:rsid w:val="004F42B8"/>
    <w:rsid w:val="004F5CD0"/>
    <w:rsid w:val="00515B5F"/>
    <w:rsid w:val="00521702"/>
    <w:rsid w:val="005278B1"/>
    <w:rsid w:val="00547407"/>
    <w:rsid w:val="00553DD6"/>
    <w:rsid w:val="00555893"/>
    <w:rsid w:val="00561C13"/>
    <w:rsid w:val="0057435C"/>
    <w:rsid w:val="00577DB8"/>
    <w:rsid w:val="005913D1"/>
    <w:rsid w:val="00592FEE"/>
    <w:rsid w:val="0059615C"/>
    <w:rsid w:val="005C1ECF"/>
    <w:rsid w:val="005C6B38"/>
    <w:rsid w:val="005D0E02"/>
    <w:rsid w:val="005D10DA"/>
    <w:rsid w:val="005D43B8"/>
    <w:rsid w:val="005D5D4E"/>
    <w:rsid w:val="005E51B5"/>
    <w:rsid w:val="005E7B46"/>
    <w:rsid w:val="005F2F2D"/>
    <w:rsid w:val="00603544"/>
    <w:rsid w:val="006111C7"/>
    <w:rsid w:val="00611785"/>
    <w:rsid w:val="006120BE"/>
    <w:rsid w:val="00612DC7"/>
    <w:rsid w:val="00623A8F"/>
    <w:rsid w:val="00623DBE"/>
    <w:rsid w:val="00624670"/>
    <w:rsid w:val="006317E5"/>
    <w:rsid w:val="006403EA"/>
    <w:rsid w:val="006503DA"/>
    <w:rsid w:val="00693465"/>
    <w:rsid w:val="0069437A"/>
    <w:rsid w:val="006A158B"/>
    <w:rsid w:val="006A5C45"/>
    <w:rsid w:val="006A6887"/>
    <w:rsid w:val="006A7894"/>
    <w:rsid w:val="006D3D43"/>
    <w:rsid w:val="006E21BC"/>
    <w:rsid w:val="006F136C"/>
    <w:rsid w:val="006F2640"/>
    <w:rsid w:val="006F750A"/>
    <w:rsid w:val="00710BCB"/>
    <w:rsid w:val="00711254"/>
    <w:rsid w:val="00720B92"/>
    <w:rsid w:val="007230C4"/>
    <w:rsid w:val="007250A0"/>
    <w:rsid w:val="007335F7"/>
    <w:rsid w:val="007417A0"/>
    <w:rsid w:val="00757393"/>
    <w:rsid w:val="00763972"/>
    <w:rsid w:val="00763F6E"/>
    <w:rsid w:val="00767263"/>
    <w:rsid w:val="0076735D"/>
    <w:rsid w:val="00771510"/>
    <w:rsid w:val="00777613"/>
    <w:rsid w:val="00780038"/>
    <w:rsid w:val="0078171F"/>
    <w:rsid w:val="007818E7"/>
    <w:rsid w:val="00782A4F"/>
    <w:rsid w:val="00783F62"/>
    <w:rsid w:val="007872DE"/>
    <w:rsid w:val="007A3AA5"/>
    <w:rsid w:val="007A4C9C"/>
    <w:rsid w:val="007D292C"/>
    <w:rsid w:val="007D358D"/>
    <w:rsid w:val="007E3A15"/>
    <w:rsid w:val="007E794E"/>
    <w:rsid w:val="007F5D72"/>
    <w:rsid w:val="00803491"/>
    <w:rsid w:val="008048C7"/>
    <w:rsid w:val="0081529C"/>
    <w:rsid w:val="00820C52"/>
    <w:rsid w:val="00825EB2"/>
    <w:rsid w:val="00827621"/>
    <w:rsid w:val="00833D64"/>
    <w:rsid w:val="00853FA5"/>
    <w:rsid w:val="00862CFD"/>
    <w:rsid w:val="008660E8"/>
    <w:rsid w:val="008674EB"/>
    <w:rsid w:val="0087232C"/>
    <w:rsid w:val="0088199A"/>
    <w:rsid w:val="008A3D73"/>
    <w:rsid w:val="008A49F0"/>
    <w:rsid w:val="008A6AAD"/>
    <w:rsid w:val="008C4BFD"/>
    <w:rsid w:val="008C5E7F"/>
    <w:rsid w:val="008F575D"/>
    <w:rsid w:val="009032EA"/>
    <w:rsid w:val="009125AC"/>
    <w:rsid w:val="00912B40"/>
    <w:rsid w:val="00915332"/>
    <w:rsid w:val="00915431"/>
    <w:rsid w:val="00917142"/>
    <w:rsid w:val="00923C32"/>
    <w:rsid w:val="00931F25"/>
    <w:rsid w:val="00964381"/>
    <w:rsid w:val="00974E9E"/>
    <w:rsid w:val="00984E8C"/>
    <w:rsid w:val="00993AD6"/>
    <w:rsid w:val="00996DA2"/>
    <w:rsid w:val="009A3A7E"/>
    <w:rsid w:val="009B0169"/>
    <w:rsid w:val="009B2CF3"/>
    <w:rsid w:val="009C36BA"/>
    <w:rsid w:val="009C67A9"/>
    <w:rsid w:val="009D1068"/>
    <w:rsid w:val="009E0FE4"/>
    <w:rsid w:val="009E356E"/>
    <w:rsid w:val="009E3DAC"/>
    <w:rsid w:val="009E52EB"/>
    <w:rsid w:val="009F1DDF"/>
    <w:rsid w:val="009F2DE4"/>
    <w:rsid w:val="009F47B1"/>
    <w:rsid w:val="009F5F31"/>
    <w:rsid w:val="009F64BD"/>
    <w:rsid w:val="009F7398"/>
    <w:rsid w:val="00A05813"/>
    <w:rsid w:val="00A234D6"/>
    <w:rsid w:val="00A264FC"/>
    <w:rsid w:val="00A36DDA"/>
    <w:rsid w:val="00A42B1B"/>
    <w:rsid w:val="00A51408"/>
    <w:rsid w:val="00A517EB"/>
    <w:rsid w:val="00A5251F"/>
    <w:rsid w:val="00A53DD6"/>
    <w:rsid w:val="00A53F49"/>
    <w:rsid w:val="00A638DA"/>
    <w:rsid w:val="00A65DA4"/>
    <w:rsid w:val="00A71EA3"/>
    <w:rsid w:val="00A7375B"/>
    <w:rsid w:val="00A81658"/>
    <w:rsid w:val="00A95874"/>
    <w:rsid w:val="00A97316"/>
    <w:rsid w:val="00AA7E2D"/>
    <w:rsid w:val="00AB79B1"/>
    <w:rsid w:val="00AD3559"/>
    <w:rsid w:val="00AE3206"/>
    <w:rsid w:val="00AE62D1"/>
    <w:rsid w:val="00AF24EE"/>
    <w:rsid w:val="00AF3A9F"/>
    <w:rsid w:val="00AF4234"/>
    <w:rsid w:val="00AF6F17"/>
    <w:rsid w:val="00B04912"/>
    <w:rsid w:val="00B17EA3"/>
    <w:rsid w:val="00B24176"/>
    <w:rsid w:val="00B262FE"/>
    <w:rsid w:val="00B33A9E"/>
    <w:rsid w:val="00B355E4"/>
    <w:rsid w:val="00B43372"/>
    <w:rsid w:val="00B50AF2"/>
    <w:rsid w:val="00B51E2B"/>
    <w:rsid w:val="00B61EF9"/>
    <w:rsid w:val="00B63E8F"/>
    <w:rsid w:val="00B66C3E"/>
    <w:rsid w:val="00B6704B"/>
    <w:rsid w:val="00B76289"/>
    <w:rsid w:val="00B83CDB"/>
    <w:rsid w:val="00B84962"/>
    <w:rsid w:val="00B86804"/>
    <w:rsid w:val="00B90185"/>
    <w:rsid w:val="00B965AF"/>
    <w:rsid w:val="00BA315B"/>
    <w:rsid w:val="00BA5A3E"/>
    <w:rsid w:val="00BA668E"/>
    <w:rsid w:val="00BC2086"/>
    <w:rsid w:val="00BD1058"/>
    <w:rsid w:val="00BD5E0B"/>
    <w:rsid w:val="00BE48C8"/>
    <w:rsid w:val="00C03E14"/>
    <w:rsid w:val="00C14693"/>
    <w:rsid w:val="00C1546C"/>
    <w:rsid w:val="00C163F9"/>
    <w:rsid w:val="00C16D18"/>
    <w:rsid w:val="00C433E0"/>
    <w:rsid w:val="00C46CD6"/>
    <w:rsid w:val="00C47279"/>
    <w:rsid w:val="00C564AB"/>
    <w:rsid w:val="00C72C7E"/>
    <w:rsid w:val="00C7572D"/>
    <w:rsid w:val="00C76142"/>
    <w:rsid w:val="00C768D5"/>
    <w:rsid w:val="00C8155F"/>
    <w:rsid w:val="00CA7891"/>
    <w:rsid w:val="00CB0FA8"/>
    <w:rsid w:val="00CB11FE"/>
    <w:rsid w:val="00CB29D1"/>
    <w:rsid w:val="00CE1C98"/>
    <w:rsid w:val="00CE1F01"/>
    <w:rsid w:val="00CE5C37"/>
    <w:rsid w:val="00D0172D"/>
    <w:rsid w:val="00D01D3D"/>
    <w:rsid w:val="00D04312"/>
    <w:rsid w:val="00D05307"/>
    <w:rsid w:val="00D07DA6"/>
    <w:rsid w:val="00D12098"/>
    <w:rsid w:val="00D13517"/>
    <w:rsid w:val="00D16EB4"/>
    <w:rsid w:val="00D17369"/>
    <w:rsid w:val="00D255A4"/>
    <w:rsid w:val="00D31F29"/>
    <w:rsid w:val="00D340FF"/>
    <w:rsid w:val="00D36C0A"/>
    <w:rsid w:val="00D4216F"/>
    <w:rsid w:val="00D43961"/>
    <w:rsid w:val="00D471AF"/>
    <w:rsid w:val="00D56B6A"/>
    <w:rsid w:val="00D74284"/>
    <w:rsid w:val="00D86792"/>
    <w:rsid w:val="00DA2541"/>
    <w:rsid w:val="00DA4BF4"/>
    <w:rsid w:val="00DB0744"/>
    <w:rsid w:val="00DB587A"/>
    <w:rsid w:val="00DC2021"/>
    <w:rsid w:val="00DC3D3E"/>
    <w:rsid w:val="00DD25CF"/>
    <w:rsid w:val="00DD3F12"/>
    <w:rsid w:val="00DE24BB"/>
    <w:rsid w:val="00DF1711"/>
    <w:rsid w:val="00DF2DA5"/>
    <w:rsid w:val="00DF39E6"/>
    <w:rsid w:val="00DF4610"/>
    <w:rsid w:val="00DF4791"/>
    <w:rsid w:val="00E0050A"/>
    <w:rsid w:val="00E03018"/>
    <w:rsid w:val="00E05E46"/>
    <w:rsid w:val="00E11BBB"/>
    <w:rsid w:val="00E14C1C"/>
    <w:rsid w:val="00E152DE"/>
    <w:rsid w:val="00E15802"/>
    <w:rsid w:val="00E2102A"/>
    <w:rsid w:val="00E21284"/>
    <w:rsid w:val="00E402C0"/>
    <w:rsid w:val="00E4035A"/>
    <w:rsid w:val="00E4456E"/>
    <w:rsid w:val="00E45F7A"/>
    <w:rsid w:val="00E46906"/>
    <w:rsid w:val="00E619D0"/>
    <w:rsid w:val="00E64CA1"/>
    <w:rsid w:val="00E71B15"/>
    <w:rsid w:val="00E815AB"/>
    <w:rsid w:val="00E84AB8"/>
    <w:rsid w:val="00E86C12"/>
    <w:rsid w:val="00E86E58"/>
    <w:rsid w:val="00E939C0"/>
    <w:rsid w:val="00E94559"/>
    <w:rsid w:val="00E94725"/>
    <w:rsid w:val="00E959A8"/>
    <w:rsid w:val="00EA253A"/>
    <w:rsid w:val="00EA7891"/>
    <w:rsid w:val="00EB1E7E"/>
    <w:rsid w:val="00EB2D92"/>
    <w:rsid w:val="00EB7BA0"/>
    <w:rsid w:val="00EC10D2"/>
    <w:rsid w:val="00EC4CD1"/>
    <w:rsid w:val="00ED1492"/>
    <w:rsid w:val="00EE23FC"/>
    <w:rsid w:val="00EE3C9C"/>
    <w:rsid w:val="00EE445B"/>
    <w:rsid w:val="00EF4A0B"/>
    <w:rsid w:val="00F03CCB"/>
    <w:rsid w:val="00F10ABA"/>
    <w:rsid w:val="00F15D23"/>
    <w:rsid w:val="00F24C62"/>
    <w:rsid w:val="00F252F1"/>
    <w:rsid w:val="00F31FB5"/>
    <w:rsid w:val="00F43416"/>
    <w:rsid w:val="00F45BB4"/>
    <w:rsid w:val="00F46782"/>
    <w:rsid w:val="00F520C5"/>
    <w:rsid w:val="00F54392"/>
    <w:rsid w:val="00F55B4E"/>
    <w:rsid w:val="00F652EE"/>
    <w:rsid w:val="00F73457"/>
    <w:rsid w:val="00F812E4"/>
    <w:rsid w:val="00F91180"/>
    <w:rsid w:val="00F92124"/>
    <w:rsid w:val="00FA4453"/>
    <w:rsid w:val="00FB5E4B"/>
    <w:rsid w:val="00FB7E91"/>
    <w:rsid w:val="00FC605D"/>
    <w:rsid w:val="00FD2953"/>
    <w:rsid w:val="00FD40B1"/>
    <w:rsid w:val="00FD415D"/>
    <w:rsid w:val="00FD4A7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5EEAA"/>
  <w15:docId w15:val="{4585EDF0-E5A9-4EAB-AE0F-A0BF7C97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A4A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next w:val="Normal"/>
    <w:link w:val="Rubrik1Char"/>
    <w:uiPriority w:val="9"/>
    <w:qFormat/>
    <w:rsid w:val="000C2C62"/>
    <w:pPr>
      <w:keepNext/>
      <w:keepLines/>
      <w:spacing w:after="0" w:line="500" w:lineRule="atLeast"/>
      <w:outlineLvl w:val="0"/>
    </w:pPr>
    <w:rPr>
      <w:rFonts w:ascii="Franklin Gothic Book" w:eastAsiaTheme="majorEastAsia" w:hAnsi="Franklin Gothic Book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95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95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0C2C62"/>
    <w:pPr>
      <w:tabs>
        <w:tab w:val="center" w:pos="4536"/>
        <w:tab w:val="right" w:pos="9072"/>
      </w:tabs>
      <w:spacing w:after="0" w:line="260" w:lineRule="atLeast"/>
    </w:pPr>
    <w:rPr>
      <w:rFonts w:ascii="Franklin Gothic Book" w:hAnsi="Franklin Gothic Book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C2C62"/>
    <w:rPr>
      <w:rFonts w:ascii="Franklin Gothic Book" w:hAnsi="Franklin Gothic Book"/>
      <w:sz w:val="18"/>
    </w:rPr>
  </w:style>
  <w:style w:type="paragraph" w:styleId="Sidfot">
    <w:name w:val="footer"/>
    <w:basedOn w:val="Normal"/>
    <w:link w:val="SidfotChar"/>
    <w:uiPriority w:val="99"/>
    <w:unhideWhenUsed/>
    <w:rsid w:val="000C2C62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0C2C62"/>
    <w:rPr>
      <w:rFonts w:ascii="Franklin Gothic Book" w:hAnsi="Franklin Gothic Book"/>
      <w:sz w:val="14"/>
    </w:rPr>
  </w:style>
  <w:style w:type="table" w:styleId="Tabellrutnt">
    <w:name w:val="Table Grid"/>
    <w:basedOn w:val="Normaltabell"/>
    <w:uiPriority w:val="59"/>
    <w:rsid w:val="000C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C2C6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2C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2C6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C2C62"/>
    <w:rPr>
      <w:rFonts w:ascii="Franklin Gothic Book" w:eastAsiaTheme="majorEastAsia" w:hAnsi="Franklin Gothic Book" w:cstheme="majorBidi"/>
      <w:bCs/>
      <w:sz w:val="36"/>
      <w:szCs w:val="28"/>
    </w:rPr>
  </w:style>
  <w:style w:type="paragraph" w:styleId="Punktlista">
    <w:name w:val="List Bullet"/>
    <w:basedOn w:val="Normal"/>
    <w:uiPriority w:val="99"/>
    <w:qFormat/>
    <w:rsid w:val="00AF24EE"/>
    <w:pPr>
      <w:numPr>
        <w:numId w:val="4"/>
      </w:numPr>
      <w:ind w:left="284" w:hanging="284"/>
      <w:contextualSpacing/>
    </w:pPr>
  </w:style>
  <w:style w:type="paragraph" w:styleId="Punktlista2">
    <w:name w:val="List Bullet 2"/>
    <w:basedOn w:val="Normal"/>
    <w:uiPriority w:val="99"/>
    <w:rsid w:val="0057435C"/>
    <w:pPr>
      <w:numPr>
        <w:numId w:val="5"/>
      </w:numPr>
      <w:ind w:left="568" w:hanging="284"/>
      <w:contextualSpacing/>
    </w:pPr>
  </w:style>
  <w:style w:type="paragraph" w:styleId="Punktlista3">
    <w:name w:val="List Bullet 3"/>
    <w:basedOn w:val="Normal"/>
    <w:uiPriority w:val="99"/>
    <w:rsid w:val="0057435C"/>
    <w:pPr>
      <w:numPr>
        <w:numId w:val="6"/>
      </w:numPr>
      <w:ind w:left="851" w:hanging="284"/>
      <w:contextualSpacing/>
    </w:pPr>
  </w:style>
  <w:style w:type="paragraph" w:styleId="Numreradlista">
    <w:name w:val="List Number"/>
    <w:basedOn w:val="Normal"/>
    <w:uiPriority w:val="99"/>
    <w:qFormat/>
    <w:rsid w:val="00AF24EE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Numreradlista2">
    <w:name w:val="List Number 2"/>
    <w:basedOn w:val="Normal"/>
    <w:uiPriority w:val="99"/>
    <w:rsid w:val="0057435C"/>
    <w:pPr>
      <w:numPr>
        <w:numId w:val="2"/>
      </w:numPr>
      <w:ind w:left="568" w:hanging="284"/>
      <w:contextualSpacing/>
    </w:pPr>
  </w:style>
  <w:style w:type="paragraph" w:styleId="Numreradlista3">
    <w:name w:val="List Number 3"/>
    <w:basedOn w:val="Normal"/>
    <w:uiPriority w:val="99"/>
    <w:rsid w:val="0057435C"/>
    <w:pPr>
      <w:numPr>
        <w:numId w:val="3"/>
      </w:numPr>
      <w:ind w:left="851" w:hanging="284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E959A8"/>
    <w:rPr>
      <w:rFonts w:asciiTheme="majorHAnsi" w:eastAsiaTheme="majorEastAsia" w:hAnsiTheme="majorHAnsi" w:cstheme="majorBidi"/>
      <w:bCs/>
      <w:i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959A8"/>
    <w:rPr>
      <w:rFonts w:asciiTheme="majorHAnsi" w:eastAsiaTheme="majorEastAsia" w:hAnsiTheme="majorHAnsi" w:cstheme="majorBidi"/>
      <w:b/>
      <w:bCs/>
      <w:i/>
      <w:sz w:val="20"/>
    </w:rPr>
  </w:style>
  <w:style w:type="character" w:styleId="Hyperlnk">
    <w:name w:val="Hyperlink"/>
    <w:basedOn w:val="Standardstycketeckensnitt"/>
    <w:uiPriority w:val="99"/>
    <w:unhideWhenUsed/>
    <w:rsid w:val="00334A4A"/>
    <w:rPr>
      <w:color w:val="0000FF" w:themeColor="hyperlink"/>
      <w:u w:val="single"/>
    </w:rPr>
  </w:style>
  <w:style w:type="paragraph" w:customStyle="1" w:styleId="preamble">
    <w:name w:val="preamble"/>
    <w:basedOn w:val="Normal"/>
    <w:rsid w:val="00334A4A"/>
    <w:pPr>
      <w:spacing w:after="150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styleId="Liststycke">
    <w:name w:val="List Paragraph"/>
    <w:basedOn w:val="Normal"/>
    <w:uiPriority w:val="34"/>
    <w:qFormat/>
    <w:rsid w:val="00EE23FC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A95874"/>
    <w:rPr>
      <w:color w:val="800080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5C1ECF"/>
    <w:pPr>
      <w:spacing w:after="200"/>
    </w:pPr>
    <w:rPr>
      <w:b/>
      <w:bCs/>
      <w:color w:val="003580" w:themeColor="accent1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B2CF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2CF3"/>
    <w:rPr>
      <w:rFonts w:eastAsiaTheme="minorEastAsia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B2CF3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E402C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52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52E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52E3"/>
    <w:rPr>
      <w:rFonts w:eastAsiaTheme="minorEastAsia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52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52E3"/>
    <w:rPr>
      <w:rFonts w:eastAsiaTheme="minorEastAsia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RF%20Konsult\Tomt%20dokument.do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hithu\AppData\Local\Microsoft\Windows\INetCache\Content.Outlook\SDJBPOP8\Tabeller%20ber&#228;kning%20prel.%20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hithu\AppData\Local\Microsoft\Windows\INetCache\Content.Outlook\SDJBPOP8\Tabeller%20ber&#228;kning%20prel.%202020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hithu\AppData\Local\Microsoft\Windows\INetCache\Content.Outlook\SDJBPOP8\Tabeller%20ber&#228;kning%20prel.%202020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hithu\AppData\Local\Microsoft\Windows\INetCache\Content.Outlook\SDJBPOP8\Tabeller%20ber&#228;kning%20prel.%202020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cked"/>
        <c:varyColors val="0"/>
        <c:ser>
          <c:idx val="0"/>
          <c:order val="0"/>
          <c:tx>
            <c:v>Omsättning</c:v>
          </c:tx>
          <c:spPr>
            <a:solidFill>
              <a:srgbClr val="00A7AA"/>
            </a:solidFill>
          </c:spPr>
          <c:dPt>
            <c:idx val="63"/>
            <c:bubble3D val="0"/>
            <c:extLst>
              <c:ext xmlns:c16="http://schemas.microsoft.com/office/drawing/2014/chart" uri="{C3380CC4-5D6E-409C-BE32-E72D297353CC}">
                <c16:uniqueId val="{00000000-E04B-405F-B107-0C25E9A620B3}"/>
              </c:ext>
            </c:extLst>
          </c:dPt>
          <c:dPt>
            <c:idx val="64"/>
            <c:bubble3D val="0"/>
            <c:extLst>
              <c:ext xmlns:c16="http://schemas.microsoft.com/office/drawing/2014/chart" uri="{C3380CC4-5D6E-409C-BE32-E72D297353CC}">
                <c16:uniqueId val="{00000001-E04B-405F-B107-0C25E9A620B3}"/>
              </c:ext>
            </c:extLst>
          </c:dPt>
          <c:dPt>
            <c:idx val="65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E04B-405F-B107-0C25E9A620B3}"/>
              </c:ext>
            </c:extLst>
          </c:dPt>
          <c:dPt>
            <c:idx val="66"/>
            <c:bubble3D val="0"/>
            <c:spPr>
              <a:solidFill>
                <a:srgbClr val="00A7AA">
                  <a:alpha val="5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5-E04B-405F-B107-0C25E9A620B3}"/>
              </c:ext>
            </c:extLst>
          </c:dPt>
          <c:cat>
            <c:strLit>
              <c:ptCount val="73"/>
              <c:pt idx="0">
                <c:v>1985</c:v>
              </c:pt>
              <c:pt idx="1">
                <c:v>1985</c:v>
              </c:pt>
              <c:pt idx="2">
                <c:v>1986</c:v>
              </c:pt>
              <c:pt idx="3">
                <c:v>1986</c:v>
              </c:pt>
              <c:pt idx="4">
                <c:v>1987</c:v>
              </c:pt>
              <c:pt idx="5">
                <c:v>1987</c:v>
              </c:pt>
              <c:pt idx="6">
                <c:v>1988</c:v>
              </c:pt>
              <c:pt idx="7">
                <c:v>1988</c:v>
              </c:pt>
              <c:pt idx="8">
                <c:v>1989</c:v>
              </c:pt>
              <c:pt idx="9">
                <c:v>1989</c:v>
              </c:pt>
              <c:pt idx="10">
                <c:v>1990</c:v>
              </c:pt>
              <c:pt idx="11">
                <c:v>1990</c:v>
              </c:pt>
              <c:pt idx="12">
                <c:v>1991</c:v>
              </c:pt>
              <c:pt idx="13">
                <c:v>1991</c:v>
              </c:pt>
              <c:pt idx="14">
                <c:v>1992</c:v>
              </c:pt>
              <c:pt idx="15">
                <c:v>1992</c:v>
              </c:pt>
              <c:pt idx="16">
                <c:v>1993</c:v>
              </c:pt>
              <c:pt idx="17">
                <c:v>1993</c:v>
              </c:pt>
              <c:pt idx="18">
                <c:v>1994</c:v>
              </c:pt>
              <c:pt idx="19">
                <c:v>1994</c:v>
              </c:pt>
              <c:pt idx="20">
                <c:v>1995</c:v>
              </c:pt>
              <c:pt idx="21">
                <c:v>1995</c:v>
              </c:pt>
              <c:pt idx="22">
                <c:v>1996</c:v>
              </c:pt>
              <c:pt idx="23">
                <c:v>1996</c:v>
              </c:pt>
              <c:pt idx="24">
                <c:v>1997</c:v>
              </c:pt>
              <c:pt idx="25">
                <c:v>1997</c:v>
              </c:pt>
              <c:pt idx="26">
                <c:v>1998</c:v>
              </c:pt>
              <c:pt idx="27">
                <c:v>1998</c:v>
              </c:pt>
              <c:pt idx="28">
                <c:v>1999</c:v>
              </c:pt>
              <c:pt idx="29">
                <c:v>1999</c:v>
              </c:pt>
              <c:pt idx="30">
                <c:v>2000</c:v>
              </c:pt>
              <c:pt idx="31">
                <c:v>2000</c:v>
              </c:pt>
              <c:pt idx="32">
                <c:v>2001</c:v>
              </c:pt>
              <c:pt idx="33">
                <c:v>2001</c:v>
              </c:pt>
              <c:pt idx="34">
                <c:v>2002</c:v>
              </c:pt>
              <c:pt idx="35">
                <c:v>2002</c:v>
              </c:pt>
              <c:pt idx="36">
                <c:v>2003</c:v>
              </c:pt>
              <c:pt idx="37">
                <c:v>2003</c:v>
              </c:pt>
              <c:pt idx="38">
                <c:v>2004</c:v>
              </c:pt>
              <c:pt idx="39">
                <c:v>2004</c:v>
              </c:pt>
              <c:pt idx="40">
                <c:v>2005</c:v>
              </c:pt>
              <c:pt idx="41">
                <c:v>2005</c:v>
              </c:pt>
              <c:pt idx="42">
                <c:v>2006</c:v>
              </c:pt>
              <c:pt idx="43">
                <c:v>2006</c:v>
              </c:pt>
              <c:pt idx="44">
                <c:v>2007</c:v>
              </c:pt>
              <c:pt idx="45">
                <c:v>2007</c:v>
              </c:pt>
              <c:pt idx="46">
                <c:v>2008</c:v>
              </c:pt>
              <c:pt idx="47">
                <c:v>2008</c:v>
              </c:pt>
              <c:pt idx="48">
                <c:v>2009</c:v>
              </c:pt>
              <c:pt idx="49">
                <c:v>2009</c:v>
              </c:pt>
              <c:pt idx="50">
                <c:v>2010</c:v>
              </c:pt>
              <c:pt idx="51">
                <c:v>2010</c:v>
              </c:pt>
              <c:pt idx="52">
                <c:v>2011</c:v>
              </c:pt>
              <c:pt idx="53">
                <c:v>2011</c:v>
              </c:pt>
              <c:pt idx="54">
                <c:v>2012</c:v>
              </c:pt>
              <c:pt idx="55">
                <c:v>2012</c:v>
              </c:pt>
              <c:pt idx="56">
                <c:v>2013</c:v>
              </c:pt>
              <c:pt idx="57">
                <c:v>2013</c:v>
              </c:pt>
              <c:pt idx="58">
                <c:v>2014</c:v>
              </c:pt>
              <c:pt idx="59">
                <c:v>2014</c:v>
              </c:pt>
              <c:pt idx="60">
                <c:v>2015</c:v>
              </c:pt>
              <c:pt idx="61">
                <c:v>2015</c:v>
              </c:pt>
              <c:pt idx="62">
                <c:v>2016</c:v>
              </c:pt>
              <c:pt idx="63">
                <c:v>2016</c:v>
              </c:pt>
              <c:pt idx="64">
                <c:v>2017</c:v>
              </c:pt>
              <c:pt idx="65">
                <c:v>2017</c:v>
              </c:pt>
              <c:pt idx="66">
                <c:v>2018</c:v>
              </c:pt>
              <c:pt idx="67">
                <c:v>2018</c:v>
              </c:pt>
              <c:pt idx="68">
                <c:v>2019</c:v>
              </c:pt>
              <c:pt idx="69">
                <c:v>2019</c:v>
              </c:pt>
              <c:pt idx="70">
                <c:v>2020</c:v>
              </c:pt>
              <c:pt idx="71">
                <c:v>2020</c:v>
              </c:pt>
              <c:pt idx="72">
                <c:v>2021</c:v>
              </c:pt>
            </c:strLit>
          </c:cat>
          <c:val>
            <c:numLit>
              <c:formatCode>General</c:formatCode>
              <c:ptCount val="73"/>
              <c:pt idx="0">
                <c:v>39</c:v>
              </c:pt>
              <c:pt idx="1">
                <c:v>33</c:v>
              </c:pt>
              <c:pt idx="2">
                <c:v>38</c:v>
              </c:pt>
              <c:pt idx="3">
                <c:v>45</c:v>
              </c:pt>
              <c:pt idx="4">
                <c:v>44</c:v>
              </c:pt>
              <c:pt idx="5">
                <c:v>43</c:v>
              </c:pt>
              <c:pt idx="6">
                <c:v>41</c:v>
              </c:pt>
              <c:pt idx="7">
                <c:v>34</c:v>
              </c:pt>
              <c:pt idx="8">
                <c:v>57.3</c:v>
              </c:pt>
              <c:pt idx="9">
                <c:v>53.2</c:v>
              </c:pt>
              <c:pt idx="10">
                <c:v>51.5</c:v>
              </c:pt>
              <c:pt idx="11">
                <c:v>37.200000000000003</c:v>
              </c:pt>
              <c:pt idx="12">
                <c:v>23</c:v>
              </c:pt>
              <c:pt idx="13">
                <c:v>13</c:v>
              </c:pt>
              <c:pt idx="14">
                <c:v>3</c:v>
              </c:pt>
              <c:pt idx="15">
                <c:v>0</c:v>
              </c:pt>
              <c:pt idx="16">
                <c:v>4</c:v>
              </c:pt>
              <c:pt idx="17">
                <c:v>8</c:v>
              </c:pt>
              <c:pt idx="18">
                <c:v>22.5</c:v>
              </c:pt>
              <c:pt idx="19">
                <c:v>37</c:v>
              </c:pt>
              <c:pt idx="20">
                <c:v>38</c:v>
              </c:pt>
              <c:pt idx="21">
                <c:v>40</c:v>
              </c:pt>
              <c:pt idx="22">
                <c:v>42</c:v>
              </c:pt>
              <c:pt idx="23">
                <c:v>36.5</c:v>
              </c:pt>
              <c:pt idx="24">
                <c:v>31</c:v>
              </c:pt>
              <c:pt idx="25">
                <c:v>40.5</c:v>
              </c:pt>
              <c:pt idx="26">
                <c:v>50</c:v>
              </c:pt>
              <c:pt idx="27">
                <c:v>45</c:v>
              </c:pt>
              <c:pt idx="28">
                <c:v>40</c:v>
              </c:pt>
              <c:pt idx="29">
                <c:v>46.5</c:v>
              </c:pt>
              <c:pt idx="30">
                <c:v>53</c:v>
              </c:pt>
              <c:pt idx="31">
                <c:v>53</c:v>
              </c:pt>
              <c:pt idx="32">
                <c:v>50</c:v>
              </c:pt>
              <c:pt idx="33">
                <c:v>35</c:v>
              </c:pt>
              <c:pt idx="34">
                <c:v>36</c:v>
              </c:pt>
              <c:pt idx="35">
                <c:v>32</c:v>
              </c:pt>
              <c:pt idx="36">
                <c:v>29</c:v>
              </c:pt>
              <c:pt idx="37">
                <c:v>21</c:v>
              </c:pt>
              <c:pt idx="38">
                <c:v>22</c:v>
              </c:pt>
              <c:pt idx="39">
                <c:v>24</c:v>
              </c:pt>
              <c:pt idx="40">
                <c:v>32</c:v>
              </c:pt>
              <c:pt idx="41">
                <c:v>39</c:v>
              </c:pt>
              <c:pt idx="42">
                <c:v>46</c:v>
              </c:pt>
              <c:pt idx="43">
                <c:v>50</c:v>
              </c:pt>
              <c:pt idx="44">
                <c:v>56</c:v>
              </c:pt>
              <c:pt idx="45">
                <c:v>52</c:v>
              </c:pt>
              <c:pt idx="46">
                <c:v>52</c:v>
              </c:pt>
              <c:pt idx="47">
                <c:v>35</c:v>
              </c:pt>
              <c:pt idx="48">
                <c:v>15</c:v>
              </c:pt>
              <c:pt idx="49">
                <c:v>-3</c:v>
              </c:pt>
              <c:pt idx="50">
                <c:v>9</c:v>
              </c:pt>
              <c:pt idx="51">
                <c:v>32</c:v>
              </c:pt>
              <c:pt idx="52">
                <c:v>41</c:v>
              </c:pt>
              <c:pt idx="53">
                <c:v>34</c:v>
              </c:pt>
              <c:pt idx="54">
                <c:v>30</c:v>
              </c:pt>
              <c:pt idx="55">
                <c:v>20</c:v>
              </c:pt>
              <c:pt idx="56">
                <c:v>15</c:v>
              </c:pt>
              <c:pt idx="57">
                <c:v>19</c:v>
              </c:pt>
              <c:pt idx="58">
                <c:v>22.4</c:v>
              </c:pt>
              <c:pt idx="59">
                <c:v>25.799999999999997</c:v>
              </c:pt>
              <c:pt idx="60">
                <c:v>29.2</c:v>
              </c:pt>
              <c:pt idx="61">
                <c:v>31.25</c:v>
              </c:pt>
              <c:pt idx="62">
                <c:v>33.300000000000004</c:v>
              </c:pt>
              <c:pt idx="63">
                <c:v>32.400000000000006</c:v>
              </c:pt>
              <c:pt idx="64">
                <c:v>31.5</c:v>
              </c:pt>
              <c:pt idx="65">
                <c:v>30.821439046413598</c:v>
              </c:pt>
              <c:pt idx="66">
                <c:v>30.142878092827196</c:v>
              </c:pt>
              <c:pt idx="67">
                <c:v>29.581873537784798</c:v>
              </c:pt>
              <c:pt idx="68">
                <c:v>29.0208689827424</c:v>
              </c:pt>
              <c:pt idx="69">
                <c:v>28.5104344913712</c:v>
              </c:pt>
              <c:pt idx="70">
                <c:v>28</c:v>
              </c:pt>
              <c:pt idx="71">
                <c:v>13.5</c:v>
              </c:pt>
              <c:pt idx="72">
                <c:v>-1</c:v>
              </c:pt>
            </c:numLit>
          </c:val>
          <c:extLst>
            <c:ext xmlns:c16="http://schemas.microsoft.com/office/drawing/2014/chart" uri="{C3380CC4-5D6E-409C-BE32-E72D297353CC}">
              <c16:uniqueId val="{00000006-E04B-405F-B107-0C25E9A620B3}"/>
            </c:ext>
          </c:extLst>
        </c:ser>
        <c:ser>
          <c:idx val="1"/>
          <c:order val="1"/>
          <c:tx>
            <c:v>Beställningar</c:v>
          </c:tx>
          <c:spPr>
            <a:solidFill>
              <a:srgbClr val="E40053"/>
            </a:solidFill>
          </c:spPr>
          <c:dPt>
            <c:idx val="63"/>
            <c:bubble3D val="0"/>
            <c:extLst>
              <c:ext xmlns:c16="http://schemas.microsoft.com/office/drawing/2014/chart" uri="{C3380CC4-5D6E-409C-BE32-E72D297353CC}">
                <c16:uniqueId val="{00000007-E04B-405F-B107-0C25E9A620B3}"/>
              </c:ext>
            </c:extLst>
          </c:dPt>
          <c:dPt>
            <c:idx val="64"/>
            <c:bubble3D val="0"/>
            <c:extLst>
              <c:ext xmlns:c16="http://schemas.microsoft.com/office/drawing/2014/chart" uri="{C3380CC4-5D6E-409C-BE32-E72D297353CC}">
                <c16:uniqueId val="{00000008-E04B-405F-B107-0C25E9A620B3}"/>
              </c:ext>
            </c:extLst>
          </c:dPt>
          <c:dPt>
            <c:idx val="65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A-E04B-405F-B107-0C25E9A620B3}"/>
              </c:ext>
            </c:extLst>
          </c:dPt>
          <c:dPt>
            <c:idx val="66"/>
            <c:bubble3D val="0"/>
            <c:spPr>
              <a:solidFill>
                <a:srgbClr val="E40053">
                  <a:alpha val="5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C-E04B-405F-B107-0C25E9A620B3}"/>
              </c:ext>
            </c:extLst>
          </c:dPt>
          <c:cat>
            <c:strLit>
              <c:ptCount val="73"/>
              <c:pt idx="0">
                <c:v>1985</c:v>
              </c:pt>
              <c:pt idx="1">
                <c:v>1985</c:v>
              </c:pt>
              <c:pt idx="2">
                <c:v>1986</c:v>
              </c:pt>
              <c:pt idx="3">
                <c:v>1986</c:v>
              </c:pt>
              <c:pt idx="4">
                <c:v>1987</c:v>
              </c:pt>
              <c:pt idx="5">
                <c:v>1987</c:v>
              </c:pt>
              <c:pt idx="6">
                <c:v>1988</c:v>
              </c:pt>
              <c:pt idx="7">
                <c:v>1988</c:v>
              </c:pt>
              <c:pt idx="8">
                <c:v>1989</c:v>
              </c:pt>
              <c:pt idx="9">
                <c:v>1989</c:v>
              </c:pt>
              <c:pt idx="10">
                <c:v>1990</c:v>
              </c:pt>
              <c:pt idx="11">
                <c:v>1990</c:v>
              </c:pt>
              <c:pt idx="12">
                <c:v>1991</c:v>
              </c:pt>
              <c:pt idx="13">
                <c:v>1991</c:v>
              </c:pt>
              <c:pt idx="14">
                <c:v>1992</c:v>
              </c:pt>
              <c:pt idx="15">
                <c:v>1992</c:v>
              </c:pt>
              <c:pt idx="16">
                <c:v>1993</c:v>
              </c:pt>
              <c:pt idx="17">
                <c:v>1993</c:v>
              </c:pt>
              <c:pt idx="18">
                <c:v>1994</c:v>
              </c:pt>
              <c:pt idx="19">
                <c:v>1994</c:v>
              </c:pt>
              <c:pt idx="20">
                <c:v>1995</c:v>
              </c:pt>
              <c:pt idx="21">
                <c:v>1995</c:v>
              </c:pt>
              <c:pt idx="22">
                <c:v>1996</c:v>
              </c:pt>
              <c:pt idx="23">
                <c:v>1996</c:v>
              </c:pt>
              <c:pt idx="24">
                <c:v>1997</c:v>
              </c:pt>
              <c:pt idx="25">
                <c:v>1997</c:v>
              </c:pt>
              <c:pt idx="26">
                <c:v>1998</c:v>
              </c:pt>
              <c:pt idx="27">
                <c:v>1998</c:v>
              </c:pt>
              <c:pt idx="28">
                <c:v>1999</c:v>
              </c:pt>
              <c:pt idx="29">
                <c:v>1999</c:v>
              </c:pt>
              <c:pt idx="30">
                <c:v>2000</c:v>
              </c:pt>
              <c:pt idx="31">
                <c:v>2000</c:v>
              </c:pt>
              <c:pt idx="32">
                <c:v>2001</c:v>
              </c:pt>
              <c:pt idx="33">
                <c:v>2001</c:v>
              </c:pt>
              <c:pt idx="34">
                <c:v>2002</c:v>
              </c:pt>
              <c:pt idx="35">
                <c:v>2002</c:v>
              </c:pt>
              <c:pt idx="36">
                <c:v>2003</c:v>
              </c:pt>
              <c:pt idx="37">
                <c:v>2003</c:v>
              </c:pt>
              <c:pt idx="38">
                <c:v>2004</c:v>
              </c:pt>
              <c:pt idx="39">
                <c:v>2004</c:v>
              </c:pt>
              <c:pt idx="40">
                <c:v>2005</c:v>
              </c:pt>
              <c:pt idx="41">
                <c:v>2005</c:v>
              </c:pt>
              <c:pt idx="42">
                <c:v>2006</c:v>
              </c:pt>
              <c:pt idx="43">
                <c:v>2006</c:v>
              </c:pt>
              <c:pt idx="44">
                <c:v>2007</c:v>
              </c:pt>
              <c:pt idx="45">
                <c:v>2007</c:v>
              </c:pt>
              <c:pt idx="46">
                <c:v>2008</c:v>
              </c:pt>
              <c:pt idx="47">
                <c:v>2008</c:v>
              </c:pt>
              <c:pt idx="48">
                <c:v>2009</c:v>
              </c:pt>
              <c:pt idx="49">
                <c:v>2009</c:v>
              </c:pt>
              <c:pt idx="50">
                <c:v>2010</c:v>
              </c:pt>
              <c:pt idx="51">
                <c:v>2010</c:v>
              </c:pt>
              <c:pt idx="52">
                <c:v>2011</c:v>
              </c:pt>
              <c:pt idx="53">
                <c:v>2011</c:v>
              </c:pt>
              <c:pt idx="54">
                <c:v>2012</c:v>
              </c:pt>
              <c:pt idx="55">
                <c:v>2012</c:v>
              </c:pt>
              <c:pt idx="56">
                <c:v>2013</c:v>
              </c:pt>
              <c:pt idx="57">
                <c:v>2013</c:v>
              </c:pt>
              <c:pt idx="58">
                <c:v>2014</c:v>
              </c:pt>
              <c:pt idx="59">
                <c:v>2014</c:v>
              </c:pt>
              <c:pt idx="60">
                <c:v>2015</c:v>
              </c:pt>
              <c:pt idx="61">
                <c:v>2015</c:v>
              </c:pt>
              <c:pt idx="62">
                <c:v>2016</c:v>
              </c:pt>
              <c:pt idx="63">
                <c:v>2016</c:v>
              </c:pt>
              <c:pt idx="64">
                <c:v>2017</c:v>
              </c:pt>
              <c:pt idx="65">
                <c:v>2017</c:v>
              </c:pt>
              <c:pt idx="66">
                <c:v>2018</c:v>
              </c:pt>
              <c:pt idx="67">
                <c:v>2018</c:v>
              </c:pt>
              <c:pt idx="68">
                <c:v>2019</c:v>
              </c:pt>
              <c:pt idx="69">
                <c:v>2019</c:v>
              </c:pt>
              <c:pt idx="70">
                <c:v>2020</c:v>
              </c:pt>
              <c:pt idx="71">
                <c:v>2020</c:v>
              </c:pt>
              <c:pt idx="72">
                <c:v>2021</c:v>
              </c:pt>
            </c:strLit>
          </c:cat>
          <c:val>
            <c:numLit>
              <c:formatCode>General</c:formatCode>
              <c:ptCount val="73"/>
              <c:pt idx="0">
                <c:v>45</c:v>
              </c:pt>
              <c:pt idx="1">
                <c:v>40</c:v>
              </c:pt>
              <c:pt idx="2">
                <c:v>44</c:v>
              </c:pt>
              <c:pt idx="3">
                <c:v>44</c:v>
              </c:pt>
              <c:pt idx="4">
                <c:v>38</c:v>
              </c:pt>
              <c:pt idx="5">
                <c:v>47</c:v>
              </c:pt>
              <c:pt idx="6">
                <c:v>33</c:v>
              </c:pt>
              <c:pt idx="7">
                <c:v>40</c:v>
              </c:pt>
              <c:pt idx="8">
                <c:v>48.6</c:v>
              </c:pt>
              <c:pt idx="9">
                <c:v>52.8</c:v>
              </c:pt>
              <c:pt idx="10">
                <c:v>46.2</c:v>
              </c:pt>
              <c:pt idx="11">
                <c:v>34.799999999999997</c:v>
              </c:pt>
              <c:pt idx="12">
                <c:v>11</c:v>
              </c:pt>
              <c:pt idx="13">
                <c:v>-2</c:v>
              </c:pt>
              <c:pt idx="14">
                <c:v>-8</c:v>
              </c:pt>
              <c:pt idx="15">
                <c:v>-8</c:v>
              </c:pt>
              <c:pt idx="16">
                <c:v>2</c:v>
              </c:pt>
              <c:pt idx="17">
                <c:v>12</c:v>
              </c:pt>
              <c:pt idx="18">
                <c:v>26.5</c:v>
              </c:pt>
              <c:pt idx="19">
                <c:v>41</c:v>
              </c:pt>
              <c:pt idx="20">
                <c:v>51</c:v>
              </c:pt>
              <c:pt idx="21">
                <c:v>47.5</c:v>
              </c:pt>
              <c:pt idx="22">
                <c:v>44</c:v>
              </c:pt>
              <c:pt idx="23">
                <c:v>36</c:v>
              </c:pt>
              <c:pt idx="24">
                <c:v>28</c:v>
              </c:pt>
              <c:pt idx="25">
                <c:v>34</c:v>
              </c:pt>
              <c:pt idx="26">
                <c:v>40</c:v>
              </c:pt>
              <c:pt idx="27">
                <c:v>36</c:v>
              </c:pt>
              <c:pt idx="28">
                <c:v>32</c:v>
              </c:pt>
              <c:pt idx="29">
                <c:v>39.5</c:v>
              </c:pt>
              <c:pt idx="30">
                <c:v>47</c:v>
              </c:pt>
              <c:pt idx="31">
                <c:v>52</c:v>
              </c:pt>
              <c:pt idx="32">
                <c:v>44</c:v>
              </c:pt>
              <c:pt idx="33">
                <c:v>25</c:v>
              </c:pt>
              <c:pt idx="34">
                <c:v>20</c:v>
              </c:pt>
              <c:pt idx="35">
                <c:v>20</c:v>
              </c:pt>
              <c:pt idx="36">
                <c:v>19</c:v>
              </c:pt>
              <c:pt idx="37">
                <c:v>16</c:v>
              </c:pt>
              <c:pt idx="38">
                <c:v>15</c:v>
              </c:pt>
              <c:pt idx="39">
                <c:v>32</c:v>
              </c:pt>
              <c:pt idx="40">
                <c:v>29</c:v>
              </c:pt>
              <c:pt idx="41">
                <c:v>41</c:v>
              </c:pt>
              <c:pt idx="42">
                <c:v>46</c:v>
              </c:pt>
              <c:pt idx="43">
                <c:v>54</c:v>
              </c:pt>
              <c:pt idx="44">
                <c:v>48</c:v>
              </c:pt>
              <c:pt idx="45">
                <c:v>49</c:v>
              </c:pt>
              <c:pt idx="46">
                <c:v>43</c:v>
              </c:pt>
              <c:pt idx="47">
                <c:v>31</c:v>
              </c:pt>
              <c:pt idx="48">
                <c:v>0.7</c:v>
              </c:pt>
              <c:pt idx="49">
                <c:v>1</c:v>
              </c:pt>
              <c:pt idx="50">
                <c:v>15</c:v>
              </c:pt>
              <c:pt idx="51">
                <c:v>41</c:v>
              </c:pt>
              <c:pt idx="52">
                <c:v>39</c:v>
              </c:pt>
              <c:pt idx="53">
                <c:v>36</c:v>
              </c:pt>
              <c:pt idx="54">
                <c:v>24</c:v>
              </c:pt>
              <c:pt idx="55">
                <c:v>18</c:v>
              </c:pt>
              <c:pt idx="56">
                <c:v>12</c:v>
              </c:pt>
              <c:pt idx="57">
                <c:v>27</c:v>
              </c:pt>
              <c:pt idx="58">
                <c:v>26.533333333333331</c:v>
              </c:pt>
              <c:pt idx="59">
                <c:v>26.066666666666666</c:v>
              </c:pt>
              <c:pt idx="60">
                <c:v>25.6</c:v>
              </c:pt>
              <c:pt idx="61">
                <c:v>29.450000000000003</c:v>
              </c:pt>
              <c:pt idx="62">
                <c:v>33.300000000000004</c:v>
              </c:pt>
              <c:pt idx="63">
                <c:v>32.6</c:v>
              </c:pt>
              <c:pt idx="64">
                <c:v>31.899999999999995</c:v>
              </c:pt>
              <c:pt idx="65">
                <c:v>30.359122947429046</c:v>
              </c:pt>
              <c:pt idx="66">
                <c:v>28.818245894858098</c:v>
              </c:pt>
              <c:pt idx="67">
                <c:v>26.803855042271149</c:v>
              </c:pt>
              <c:pt idx="68">
                <c:v>24.7894641896842</c:v>
              </c:pt>
              <c:pt idx="69">
                <c:v>22.894732094842098</c:v>
              </c:pt>
              <c:pt idx="70">
                <c:v>21</c:v>
              </c:pt>
              <c:pt idx="71">
                <c:v>9</c:v>
              </c:pt>
              <c:pt idx="72">
                <c:v>-3</c:v>
              </c:pt>
            </c:numLit>
          </c:val>
          <c:extLst>
            <c:ext xmlns:c16="http://schemas.microsoft.com/office/drawing/2014/chart" uri="{C3380CC4-5D6E-409C-BE32-E72D297353CC}">
              <c16:uniqueId val="{0000000D-E04B-405F-B107-0C25E9A620B3}"/>
            </c:ext>
          </c:extLst>
        </c:ser>
        <c:ser>
          <c:idx val="2"/>
          <c:order val="2"/>
          <c:tx>
            <c:v>Sysselsättning</c:v>
          </c:tx>
          <c:spPr>
            <a:solidFill>
              <a:srgbClr val="EC6B25"/>
            </a:solidFill>
          </c:spPr>
          <c:dPt>
            <c:idx val="63"/>
            <c:bubble3D val="0"/>
            <c:extLst>
              <c:ext xmlns:c16="http://schemas.microsoft.com/office/drawing/2014/chart" uri="{C3380CC4-5D6E-409C-BE32-E72D297353CC}">
                <c16:uniqueId val="{0000000E-E04B-405F-B107-0C25E9A620B3}"/>
              </c:ext>
            </c:extLst>
          </c:dPt>
          <c:dPt>
            <c:idx val="64"/>
            <c:bubble3D val="0"/>
            <c:extLst>
              <c:ext xmlns:c16="http://schemas.microsoft.com/office/drawing/2014/chart" uri="{C3380CC4-5D6E-409C-BE32-E72D297353CC}">
                <c16:uniqueId val="{0000000F-E04B-405F-B107-0C25E9A620B3}"/>
              </c:ext>
            </c:extLst>
          </c:dPt>
          <c:dPt>
            <c:idx val="65"/>
            <c:bubble3D val="0"/>
            <c:spPr>
              <a:noFill/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1-E04B-405F-B107-0C25E9A620B3}"/>
              </c:ext>
            </c:extLst>
          </c:dPt>
          <c:dPt>
            <c:idx val="66"/>
            <c:bubble3D val="0"/>
            <c:spPr>
              <a:solidFill>
                <a:srgbClr val="EC6B25">
                  <a:alpha val="5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13-E04B-405F-B107-0C25E9A620B3}"/>
              </c:ext>
            </c:extLst>
          </c:dPt>
          <c:cat>
            <c:strLit>
              <c:ptCount val="73"/>
              <c:pt idx="0">
                <c:v>1985</c:v>
              </c:pt>
              <c:pt idx="1">
                <c:v>1985</c:v>
              </c:pt>
              <c:pt idx="2">
                <c:v>1986</c:v>
              </c:pt>
              <c:pt idx="3">
                <c:v>1986</c:v>
              </c:pt>
              <c:pt idx="4">
                <c:v>1987</c:v>
              </c:pt>
              <c:pt idx="5">
                <c:v>1987</c:v>
              </c:pt>
              <c:pt idx="6">
                <c:v>1988</c:v>
              </c:pt>
              <c:pt idx="7">
                <c:v>1988</c:v>
              </c:pt>
              <c:pt idx="8">
                <c:v>1989</c:v>
              </c:pt>
              <c:pt idx="9">
                <c:v>1989</c:v>
              </c:pt>
              <c:pt idx="10">
                <c:v>1990</c:v>
              </c:pt>
              <c:pt idx="11">
                <c:v>1990</c:v>
              </c:pt>
              <c:pt idx="12">
                <c:v>1991</c:v>
              </c:pt>
              <c:pt idx="13">
                <c:v>1991</c:v>
              </c:pt>
              <c:pt idx="14">
                <c:v>1992</c:v>
              </c:pt>
              <c:pt idx="15">
                <c:v>1992</c:v>
              </c:pt>
              <c:pt idx="16">
                <c:v>1993</c:v>
              </c:pt>
              <c:pt idx="17">
                <c:v>1993</c:v>
              </c:pt>
              <c:pt idx="18">
                <c:v>1994</c:v>
              </c:pt>
              <c:pt idx="19">
                <c:v>1994</c:v>
              </c:pt>
              <c:pt idx="20">
                <c:v>1995</c:v>
              </c:pt>
              <c:pt idx="21">
                <c:v>1995</c:v>
              </c:pt>
              <c:pt idx="22">
                <c:v>1996</c:v>
              </c:pt>
              <c:pt idx="23">
                <c:v>1996</c:v>
              </c:pt>
              <c:pt idx="24">
                <c:v>1997</c:v>
              </c:pt>
              <c:pt idx="25">
                <c:v>1997</c:v>
              </c:pt>
              <c:pt idx="26">
                <c:v>1998</c:v>
              </c:pt>
              <c:pt idx="27">
                <c:v>1998</c:v>
              </c:pt>
              <c:pt idx="28">
                <c:v>1999</c:v>
              </c:pt>
              <c:pt idx="29">
                <c:v>1999</c:v>
              </c:pt>
              <c:pt idx="30">
                <c:v>2000</c:v>
              </c:pt>
              <c:pt idx="31">
                <c:v>2000</c:v>
              </c:pt>
              <c:pt idx="32">
                <c:v>2001</c:v>
              </c:pt>
              <c:pt idx="33">
                <c:v>2001</c:v>
              </c:pt>
              <c:pt idx="34">
                <c:v>2002</c:v>
              </c:pt>
              <c:pt idx="35">
                <c:v>2002</c:v>
              </c:pt>
              <c:pt idx="36">
                <c:v>2003</c:v>
              </c:pt>
              <c:pt idx="37">
                <c:v>2003</c:v>
              </c:pt>
              <c:pt idx="38">
                <c:v>2004</c:v>
              </c:pt>
              <c:pt idx="39">
                <c:v>2004</c:v>
              </c:pt>
              <c:pt idx="40">
                <c:v>2005</c:v>
              </c:pt>
              <c:pt idx="41">
                <c:v>2005</c:v>
              </c:pt>
              <c:pt idx="42">
                <c:v>2006</c:v>
              </c:pt>
              <c:pt idx="43">
                <c:v>2006</c:v>
              </c:pt>
              <c:pt idx="44">
                <c:v>2007</c:v>
              </c:pt>
              <c:pt idx="45">
                <c:v>2007</c:v>
              </c:pt>
              <c:pt idx="46">
                <c:v>2008</c:v>
              </c:pt>
              <c:pt idx="47">
                <c:v>2008</c:v>
              </c:pt>
              <c:pt idx="48">
                <c:v>2009</c:v>
              </c:pt>
              <c:pt idx="49">
                <c:v>2009</c:v>
              </c:pt>
              <c:pt idx="50">
                <c:v>2010</c:v>
              </c:pt>
              <c:pt idx="51">
                <c:v>2010</c:v>
              </c:pt>
              <c:pt idx="52">
                <c:v>2011</c:v>
              </c:pt>
              <c:pt idx="53">
                <c:v>2011</c:v>
              </c:pt>
              <c:pt idx="54">
                <c:v>2012</c:v>
              </c:pt>
              <c:pt idx="55">
                <c:v>2012</c:v>
              </c:pt>
              <c:pt idx="56">
                <c:v>2013</c:v>
              </c:pt>
              <c:pt idx="57">
                <c:v>2013</c:v>
              </c:pt>
              <c:pt idx="58">
                <c:v>2014</c:v>
              </c:pt>
              <c:pt idx="59">
                <c:v>2014</c:v>
              </c:pt>
              <c:pt idx="60">
                <c:v>2015</c:v>
              </c:pt>
              <c:pt idx="61">
                <c:v>2015</c:v>
              </c:pt>
              <c:pt idx="62">
                <c:v>2016</c:v>
              </c:pt>
              <c:pt idx="63">
                <c:v>2016</c:v>
              </c:pt>
              <c:pt idx="64">
                <c:v>2017</c:v>
              </c:pt>
              <c:pt idx="65">
                <c:v>2017</c:v>
              </c:pt>
              <c:pt idx="66">
                <c:v>2018</c:v>
              </c:pt>
              <c:pt idx="67">
                <c:v>2018</c:v>
              </c:pt>
              <c:pt idx="68">
                <c:v>2019</c:v>
              </c:pt>
              <c:pt idx="69">
                <c:v>2019</c:v>
              </c:pt>
              <c:pt idx="70">
                <c:v>2020</c:v>
              </c:pt>
              <c:pt idx="71">
                <c:v>2020</c:v>
              </c:pt>
              <c:pt idx="72">
                <c:v>2021</c:v>
              </c:pt>
            </c:strLit>
          </c:cat>
          <c:val>
            <c:numLit>
              <c:formatCode>General</c:formatCode>
              <c:ptCount val="73"/>
              <c:pt idx="0">
                <c:v>11</c:v>
              </c:pt>
              <c:pt idx="1">
                <c:v>11</c:v>
              </c:pt>
              <c:pt idx="2">
                <c:v>7</c:v>
              </c:pt>
              <c:pt idx="3">
                <c:v>10</c:v>
              </c:pt>
              <c:pt idx="4">
                <c:v>15</c:v>
              </c:pt>
              <c:pt idx="5">
                <c:v>13</c:v>
              </c:pt>
              <c:pt idx="6">
                <c:v>4</c:v>
              </c:pt>
              <c:pt idx="7">
                <c:v>8</c:v>
              </c:pt>
              <c:pt idx="8">
                <c:v>21</c:v>
              </c:pt>
              <c:pt idx="9">
                <c:v>21.3</c:v>
              </c:pt>
              <c:pt idx="10">
                <c:v>20.9</c:v>
              </c:pt>
              <c:pt idx="11">
                <c:v>14.2</c:v>
              </c:pt>
              <c:pt idx="12">
                <c:v>13</c:v>
              </c:pt>
              <c:pt idx="13">
                <c:v>2</c:v>
              </c:pt>
              <c:pt idx="14">
                <c:v>-2</c:v>
              </c:pt>
              <c:pt idx="15">
                <c:v>-2</c:v>
              </c:pt>
              <c:pt idx="16">
                <c:v>-2.5</c:v>
              </c:pt>
              <c:pt idx="17">
                <c:v>-3</c:v>
              </c:pt>
              <c:pt idx="18">
                <c:v>8</c:v>
              </c:pt>
              <c:pt idx="19">
                <c:v>19</c:v>
              </c:pt>
              <c:pt idx="20">
                <c:v>22</c:v>
              </c:pt>
              <c:pt idx="21">
                <c:v>22.5</c:v>
              </c:pt>
              <c:pt idx="22">
                <c:v>23</c:v>
              </c:pt>
              <c:pt idx="23">
                <c:v>18</c:v>
              </c:pt>
              <c:pt idx="24">
                <c:v>13</c:v>
              </c:pt>
              <c:pt idx="25">
                <c:v>19.5</c:v>
              </c:pt>
              <c:pt idx="26">
                <c:v>26</c:v>
              </c:pt>
              <c:pt idx="27">
                <c:v>19</c:v>
              </c:pt>
              <c:pt idx="28">
                <c:v>12</c:v>
              </c:pt>
              <c:pt idx="29">
                <c:v>14</c:v>
              </c:pt>
              <c:pt idx="30">
                <c:v>16</c:v>
              </c:pt>
              <c:pt idx="31">
                <c:v>22</c:v>
              </c:pt>
              <c:pt idx="32">
                <c:v>20</c:v>
              </c:pt>
              <c:pt idx="33">
                <c:v>11</c:v>
              </c:pt>
              <c:pt idx="34">
                <c:v>6</c:v>
              </c:pt>
              <c:pt idx="35">
                <c:v>8</c:v>
              </c:pt>
              <c:pt idx="36">
                <c:v>3</c:v>
              </c:pt>
              <c:pt idx="37">
                <c:v>3</c:v>
              </c:pt>
              <c:pt idx="38">
                <c:v>2</c:v>
              </c:pt>
              <c:pt idx="39">
                <c:v>5</c:v>
              </c:pt>
              <c:pt idx="40">
                <c:v>6</c:v>
              </c:pt>
              <c:pt idx="41">
                <c:v>9</c:v>
              </c:pt>
              <c:pt idx="42">
                <c:v>13</c:v>
              </c:pt>
              <c:pt idx="43">
                <c:v>16</c:v>
              </c:pt>
              <c:pt idx="44">
                <c:v>20</c:v>
              </c:pt>
              <c:pt idx="45">
                <c:v>21</c:v>
              </c:pt>
              <c:pt idx="46">
                <c:v>20</c:v>
              </c:pt>
              <c:pt idx="47">
                <c:v>16</c:v>
              </c:pt>
              <c:pt idx="48">
                <c:v>-1</c:v>
              </c:pt>
              <c:pt idx="49">
                <c:v>-6</c:v>
              </c:pt>
              <c:pt idx="50">
                <c:v>2</c:v>
              </c:pt>
              <c:pt idx="51">
                <c:v>11</c:v>
              </c:pt>
              <c:pt idx="52">
                <c:v>16</c:v>
              </c:pt>
              <c:pt idx="53">
                <c:v>13</c:v>
              </c:pt>
              <c:pt idx="54">
                <c:v>9</c:v>
              </c:pt>
              <c:pt idx="55">
                <c:v>10</c:v>
              </c:pt>
              <c:pt idx="56">
                <c:v>4</c:v>
              </c:pt>
              <c:pt idx="57">
                <c:v>8</c:v>
              </c:pt>
              <c:pt idx="58">
                <c:v>8.3999999999999986</c:v>
              </c:pt>
              <c:pt idx="59">
                <c:v>8.7999999999999989</c:v>
              </c:pt>
              <c:pt idx="60">
                <c:v>9.1999999999999993</c:v>
              </c:pt>
              <c:pt idx="61">
                <c:v>11.35</c:v>
              </c:pt>
              <c:pt idx="62">
                <c:v>13.5</c:v>
              </c:pt>
              <c:pt idx="63">
                <c:v>11.8</c:v>
              </c:pt>
              <c:pt idx="64">
                <c:v>10.100000000000001</c:v>
              </c:pt>
              <c:pt idx="65">
                <c:v>10.287407659257251</c:v>
              </c:pt>
              <c:pt idx="66">
                <c:v>10.4748153185145</c:v>
              </c:pt>
              <c:pt idx="67">
                <c:v>8.7799442790339004</c:v>
              </c:pt>
              <c:pt idx="68">
                <c:v>7.085073239553302</c:v>
              </c:pt>
              <c:pt idx="69">
                <c:v>7.0425366197766515</c:v>
              </c:pt>
              <c:pt idx="70">
                <c:v>7</c:v>
              </c:pt>
              <c:pt idx="71">
                <c:v>4</c:v>
              </c:pt>
              <c:pt idx="72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14-E04B-405F-B107-0C25E9A620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2037440"/>
        <c:axId val="792037832"/>
      </c:areaChart>
      <c:lineChart>
        <c:grouping val="standard"/>
        <c:varyColors val="0"/>
        <c:ser>
          <c:idx val="3"/>
          <c:order val="3"/>
          <c:tx>
            <c:v>Konjunkturindikator</c:v>
          </c:tx>
          <c:spPr>
            <a:ln w="38100"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none"/>
          </c:marker>
          <c:dPt>
            <c:idx val="61"/>
            <c:bubble3D val="0"/>
            <c:spPr>
              <a:ln w="38100">
                <a:solidFill>
                  <a:schemeClr val="tx1">
                    <a:lumMod val="85000"/>
                    <a:lumOff val="15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E04B-405F-B107-0C25E9A620B3}"/>
              </c:ext>
            </c:extLst>
          </c:dPt>
          <c:dPt>
            <c:idx val="63"/>
            <c:bubble3D val="0"/>
            <c:spPr>
              <a:ln w="38100">
                <a:solidFill>
                  <a:schemeClr val="tx1">
                    <a:lumMod val="85000"/>
                    <a:lumOff val="15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E04B-405F-B107-0C25E9A620B3}"/>
              </c:ext>
            </c:extLst>
          </c:dPt>
          <c:dPt>
            <c:idx val="64"/>
            <c:bubble3D val="0"/>
            <c:spPr>
              <a:ln w="38100">
                <a:solidFill>
                  <a:schemeClr val="tx1">
                    <a:lumMod val="85000"/>
                    <a:lumOff val="15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E04B-405F-B107-0C25E9A620B3}"/>
              </c:ext>
            </c:extLst>
          </c:dPt>
          <c:dPt>
            <c:idx val="65"/>
            <c:bubble3D val="0"/>
            <c:spPr>
              <a:ln w="38100">
                <a:solidFill>
                  <a:schemeClr val="tx1">
                    <a:lumMod val="85000"/>
                    <a:lumOff val="15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E04B-405F-B107-0C25E9A620B3}"/>
              </c:ext>
            </c:extLst>
          </c:dPt>
          <c:dPt>
            <c:idx val="66"/>
            <c:bubble3D val="0"/>
            <c:spPr>
              <a:ln w="38100">
                <a:solidFill>
                  <a:schemeClr val="tx1">
                    <a:lumMod val="85000"/>
                    <a:lumOff val="15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E04B-405F-B107-0C25E9A620B3}"/>
              </c:ext>
            </c:extLst>
          </c:dPt>
          <c:dPt>
            <c:idx val="67"/>
            <c:bubble3D val="0"/>
            <c:spPr>
              <a:ln w="38100">
                <a:solidFill>
                  <a:schemeClr val="tx1">
                    <a:lumMod val="85000"/>
                    <a:lumOff val="15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E04B-405F-B107-0C25E9A620B3}"/>
              </c:ext>
            </c:extLst>
          </c:dPt>
          <c:dPt>
            <c:idx val="68"/>
            <c:bubble3D val="0"/>
            <c:spPr>
              <a:ln w="38100">
                <a:solidFill>
                  <a:schemeClr val="tx1">
                    <a:lumMod val="85000"/>
                    <a:lumOff val="15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E04B-405F-B107-0C25E9A620B3}"/>
              </c:ext>
            </c:extLst>
          </c:dPt>
          <c:dPt>
            <c:idx val="69"/>
            <c:bubble3D val="0"/>
            <c:spPr>
              <a:ln w="38100">
                <a:solidFill>
                  <a:schemeClr val="tx1">
                    <a:lumMod val="85000"/>
                    <a:lumOff val="15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4-E04B-405F-B107-0C25E9A620B3}"/>
              </c:ext>
            </c:extLst>
          </c:dPt>
          <c:dPt>
            <c:idx val="70"/>
            <c:bubble3D val="0"/>
            <c:spPr>
              <a:ln w="38100">
                <a:solidFill>
                  <a:schemeClr val="tx1">
                    <a:lumMod val="85000"/>
                    <a:lumOff val="15000"/>
                  </a:schemeClr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6-E04B-405F-B107-0C25E9A620B3}"/>
              </c:ext>
            </c:extLst>
          </c:dPt>
          <c:dPt>
            <c:idx val="71"/>
            <c:bubble3D val="0"/>
            <c:spPr>
              <a:ln w="38100">
                <a:solidFill>
                  <a:schemeClr val="tx1">
                    <a:lumMod val="85000"/>
                    <a:lumOff val="15000"/>
                  </a:schemeClr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28-E04B-405F-B107-0C25E9A620B3}"/>
              </c:ext>
            </c:extLst>
          </c:dPt>
          <c:dPt>
            <c:idx val="72"/>
            <c:bubble3D val="0"/>
            <c:spPr>
              <a:ln w="38100">
                <a:solidFill>
                  <a:schemeClr val="tx1">
                    <a:lumMod val="85000"/>
                    <a:lumOff val="15000"/>
                  </a:schemeClr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2A-E04B-405F-B107-0C25E9A620B3}"/>
              </c:ext>
            </c:extLst>
          </c:dPt>
          <c:cat>
            <c:strLit>
              <c:ptCount val="73"/>
              <c:pt idx="0">
                <c:v>1985</c:v>
              </c:pt>
              <c:pt idx="1">
                <c:v>1985</c:v>
              </c:pt>
              <c:pt idx="2">
                <c:v>1986</c:v>
              </c:pt>
              <c:pt idx="3">
                <c:v>1986</c:v>
              </c:pt>
              <c:pt idx="4">
                <c:v>1987</c:v>
              </c:pt>
              <c:pt idx="5">
                <c:v>1987</c:v>
              </c:pt>
              <c:pt idx="6">
                <c:v>1988</c:v>
              </c:pt>
              <c:pt idx="7">
                <c:v>1988</c:v>
              </c:pt>
              <c:pt idx="8">
                <c:v>1989</c:v>
              </c:pt>
              <c:pt idx="9">
                <c:v>1989</c:v>
              </c:pt>
              <c:pt idx="10">
                <c:v>1990</c:v>
              </c:pt>
              <c:pt idx="11">
                <c:v>1990</c:v>
              </c:pt>
              <c:pt idx="12">
                <c:v>1991</c:v>
              </c:pt>
              <c:pt idx="13">
                <c:v>1991</c:v>
              </c:pt>
              <c:pt idx="14">
                <c:v>1992</c:v>
              </c:pt>
              <c:pt idx="15">
                <c:v>1992</c:v>
              </c:pt>
              <c:pt idx="16">
                <c:v>1993</c:v>
              </c:pt>
              <c:pt idx="17">
                <c:v>1993</c:v>
              </c:pt>
              <c:pt idx="18">
                <c:v>1994</c:v>
              </c:pt>
              <c:pt idx="19">
                <c:v>1994</c:v>
              </c:pt>
              <c:pt idx="20">
                <c:v>1995</c:v>
              </c:pt>
              <c:pt idx="21">
                <c:v>1995</c:v>
              </c:pt>
              <c:pt idx="22">
                <c:v>1996</c:v>
              </c:pt>
              <c:pt idx="23">
                <c:v>1996</c:v>
              </c:pt>
              <c:pt idx="24">
                <c:v>1997</c:v>
              </c:pt>
              <c:pt idx="25">
                <c:v>1997</c:v>
              </c:pt>
              <c:pt idx="26">
                <c:v>1998</c:v>
              </c:pt>
              <c:pt idx="27">
                <c:v>1998</c:v>
              </c:pt>
              <c:pt idx="28">
                <c:v>1999</c:v>
              </c:pt>
              <c:pt idx="29">
                <c:v>1999</c:v>
              </c:pt>
              <c:pt idx="30">
                <c:v>2000</c:v>
              </c:pt>
              <c:pt idx="31">
                <c:v>2000</c:v>
              </c:pt>
              <c:pt idx="32">
                <c:v>2001</c:v>
              </c:pt>
              <c:pt idx="33">
                <c:v>2001</c:v>
              </c:pt>
              <c:pt idx="34">
                <c:v>2002</c:v>
              </c:pt>
              <c:pt idx="35">
                <c:v>2002</c:v>
              </c:pt>
              <c:pt idx="36">
                <c:v>2003</c:v>
              </c:pt>
              <c:pt idx="37">
                <c:v>2003</c:v>
              </c:pt>
              <c:pt idx="38">
                <c:v>2004</c:v>
              </c:pt>
              <c:pt idx="39">
                <c:v>2004</c:v>
              </c:pt>
              <c:pt idx="40">
                <c:v>2005</c:v>
              </c:pt>
              <c:pt idx="41">
                <c:v>2005</c:v>
              </c:pt>
              <c:pt idx="42">
                <c:v>2006</c:v>
              </c:pt>
              <c:pt idx="43">
                <c:v>2006</c:v>
              </c:pt>
              <c:pt idx="44">
                <c:v>2007</c:v>
              </c:pt>
              <c:pt idx="45">
                <c:v>2007</c:v>
              </c:pt>
              <c:pt idx="46">
                <c:v>2008</c:v>
              </c:pt>
              <c:pt idx="47">
                <c:v>2008</c:v>
              </c:pt>
              <c:pt idx="48">
                <c:v>2009</c:v>
              </c:pt>
              <c:pt idx="49">
                <c:v>2009</c:v>
              </c:pt>
              <c:pt idx="50">
                <c:v>2010</c:v>
              </c:pt>
              <c:pt idx="51">
                <c:v>2010</c:v>
              </c:pt>
              <c:pt idx="52">
                <c:v>2011</c:v>
              </c:pt>
              <c:pt idx="53">
                <c:v>2011</c:v>
              </c:pt>
              <c:pt idx="54">
                <c:v>2012</c:v>
              </c:pt>
              <c:pt idx="55">
                <c:v>2012</c:v>
              </c:pt>
              <c:pt idx="56">
                <c:v>2013</c:v>
              </c:pt>
              <c:pt idx="57">
                <c:v>2013</c:v>
              </c:pt>
              <c:pt idx="58">
                <c:v>2014</c:v>
              </c:pt>
              <c:pt idx="59">
                <c:v>2014</c:v>
              </c:pt>
              <c:pt idx="60">
                <c:v>2015</c:v>
              </c:pt>
              <c:pt idx="61">
                <c:v>2015</c:v>
              </c:pt>
              <c:pt idx="62">
                <c:v>2016</c:v>
              </c:pt>
              <c:pt idx="63">
                <c:v>2016</c:v>
              </c:pt>
              <c:pt idx="64">
                <c:v>2017</c:v>
              </c:pt>
              <c:pt idx="65">
                <c:v>2017</c:v>
              </c:pt>
              <c:pt idx="66">
                <c:v>2018</c:v>
              </c:pt>
              <c:pt idx="67">
                <c:v>2018</c:v>
              </c:pt>
              <c:pt idx="68">
                <c:v>2019</c:v>
              </c:pt>
              <c:pt idx="69">
                <c:v>2019</c:v>
              </c:pt>
              <c:pt idx="70">
                <c:v>2020</c:v>
              </c:pt>
              <c:pt idx="71">
                <c:v>2020</c:v>
              </c:pt>
              <c:pt idx="72">
                <c:v>2021</c:v>
              </c:pt>
            </c:strLit>
          </c:cat>
          <c:val>
            <c:numLit>
              <c:formatCode>General</c:formatCode>
              <c:ptCount val="73"/>
              <c:pt idx="0">
                <c:v>95</c:v>
              </c:pt>
              <c:pt idx="1">
                <c:v>84</c:v>
              </c:pt>
              <c:pt idx="2">
                <c:v>89</c:v>
              </c:pt>
              <c:pt idx="3">
                <c:v>99</c:v>
              </c:pt>
              <c:pt idx="4">
                <c:v>97</c:v>
              </c:pt>
              <c:pt idx="5">
                <c:v>103</c:v>
              </c:pt>
              <c:pt idx="6">
                <c:v>78</c:v>
              </c:pt>
              <c:pt idx="7">
                <c:v>82</c:v>
              </c:pt>
              <c:pt idx="8">
                <c:v>126.9</c:v>
              </c:pt>
              <c:pt idx="9">
                <c:v>127.3</c:v>
              </c:pt>
              <c:pt idx="10">
                <c:v>118.6</c:v>
              </c:pt>
              <c:pt idx="11">
                <c:v>86.2</c:v>
              </c:pt>
              <c:pt idx="12">
                <c:v>47</c:v>
              </c:pt>
              <c:pt idx="13">
                <c:v>13</c:v>
              </c:pt>
              <c:pt idx="14">
                <c:v>-7</c:v>
              </c:pt>
              <c:pt idx="15">
                <c:v>-10</c:v>
              </c:pt>
              <c:pt idx="16">
                <c:v>3.5</c:v>
              </c:pt>
              <c:pt idx="17">
                <c:v>17</c:v>
              </c:pt>
              <c:pt idx="18">
                <c:v>57</c:v>
              </c:pt>
              <c:pt idx="19">
                <c:v>97</c:v>
              </c:pt>
              <c:pt idx="20">
                <c:v>111</c:v>
              </c:pt>
              <c:pt idx="21">
                <c:v>110</c:v>
              </c:pt>
              <c:pt idx="22">
                <c:v>109</c:v>
              </c:pt>
              <c:pt idx="23">
                <c:v>90.5</c:v>
              </c:pt>
              <c:pt idx="24">
                <c:v>72</c:v>
              </c:pt>
              <c:pt idx="25">
                <c:v>94</c:v>
              </c:pt>
              <c:pt idx="26">
                <c:v>116</c:v>
              </c:pt>
              <c:pt idx="27">
                <c:v>100</c:v>
              </c:pt>
              <c:pt idx="28">
                <c:v>84</c:v>
              </c:pt>
              <c:pt idx="29">
                <c:v>100</c:v>
              </c:pt>
              <c:pt idx="30">
                <c:v>116</c:v>
              </c:pt>
              <c:pt idx="31">
                <c:v>127</c:v>
              </c:pt>
              <c:pt idx="32">
                <c:v>114</c:v>
              </c:pt>
              <c:pt idx="33">
                <c:v>71</c:v>
              </c:pt>
              <c:pt idx="34">
                <c:v>62</c:v>
              </c:pt>
              <c:pt idx="35">
                <c:v>60</c:v>
              </c:pt>
              <c:pt idx="36">
                <c:v>51</c:v>
              </c:pt>
              <c:pt idx="37">
                <c:v>40</c:v>
              </c:pt>
              <c:pt idx="38">
                <c:v>39</c:v>
              </c:pt>
              <c:pt idx="39">
                <c:v>61</c:v>
              </c:pt>
              <c:pt idx="40">
                <c:v>67</c:v>
              </c:pt>
              <c:pt idx="41">
                <c:v>89</c:v>
              </c:pt>
              <c:pt idx="42">
                <c:v>105</c:v>
              </c:pt>
              <c:pt idx="43">
                <c:v>120</c:v>
              </c:pt>
              <c:pt idx="44">
                <c:v>124</c:v>
              </c:pt>
              <c:pt idx="45">
                <c:v>122</c:v>
              </c:pt>
              <c:pt idx="46">
                <c:v>115</c:v>
              </c:pt>
              <c:pt idx="47">
                <c:v>82</c:v>
              </c:pt>
              <c:pt idx="48">
                <c:v>14.7</c:v>
              </c:pt>
              <c:pt idx="49">
                <c:v>-8</c:v>
              </c:pt>
              <c:pt idx="50">
                <c:v>26</c:v>
              </c:pt>
              <c:pt idx="51">
                <c:v>84</c:v>
              </c:pt>
              <c:pt idx="52">
                <c:v>96</c:v>
              </c:pt>
              <c:pt idx="53">
                <c:v>83</c:v>
              </c:pt>
              <c:pt idx="54">
                <c:v>63</c:v>
              </c:pt>
              <c:pt idx="55">
                <c:v>48</c:v>
              </c:pt>
              <c:pt idx="56">
                <c:v>31</c:v>
              </c:pt>
              <c:pt idx="57">
                <c:v>54</c:v>
              </c:pt>
              <c:pt idx="58">
                <c:v>57.333333333333329</c:v>
              </c:pt>
              <c:pt idx="59">
                <c:v>60.666666666666657</c:v>
              </c:pt>
              <c:pt idx="60">
                <c:v>64</c:v>
              </c:pt>
              <c:pt idx="61">
                <c:v>72.050000000000011</c:v>
              </c:pt>
              <c:pt idx="62">
                <c:v>80.100000000000009</c:v>
              </c:pt>
              <c:pt idx="63">
                <c:v>76.800000000000011</c:v>
              </c:pt>
              <c:pt idx="64">
                <c:v>73.5</c:v>
              </c:pt>
              <c:pt idx="65">
                <c:v>71.4679696530999</c:v>
              </c:pt>
              <c:pt idx="66">
                <c:v>69.435939306199799</c:v>
              </c:pt>
              <c:pt idx="67">
                <c:v>65.165672859089852</c:v>
              </c:pt>
              <c:pt idx="68">
                <c:v>60.895406411979906</c:v>
              </c:pt>
              <c:pt idx="69">
                <c:v>58.947703205989953</c:v>
              </c:pt>
              <c:pt idx="70">
                <c:v>57</c:v>
              </c:pt>
              <c:pt idx="71">
                <c:v>27.5</c:v>
              </c:pt>
              <c:pt idx="72">
                <c:v>-2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2B-E04B-405F-B107-0C25E9A620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2037440"/>
        <c:axId val="792037832"/>
      </c:lineChart>
      <c:catAx>
        <c:axId val="79203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/>
          <a:lstStyle/>
          <a:p>
            <a:pPr>
              <a:defRPr sz="12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sv-SE"/>
          </a:p>
        </c:txPr>
        <c:crossAx val="792037832"/>
        <c:crosses val="autoZero"/>
        <c:auto val="1"/>
        <c:lblAlgn val="ctr"/>
        <c:lblOffset val="100"/>
        <c:noMultiLvlLbl val="0"/>
      </c:catAx>
      <c:valAx>
        <c:axId val="792037832"/>
        <c:scaling>
          <c:orientation val="minMax"/>
          <c:min val="-20"/>
        </c:scaling>
        <c:delete val="0"/>
        <c:axPos val="l"/>
        <c:title>
          <c:tx>
            <c:rich>
              <a:bodyPr/>
              <a:lstStyle/>
              <a:p>
                <a:pPr>
                  <a:defRPr b="0"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r>
                  <a:rPr lang="sv-SE" sz="1000" b="0" i="0" u="none" strike="noStrik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Konjunkturindikator (nettotal)</a:t>
                </a:r>
                <a:endParaRPr lang="sv-SE" b="0">
                  <a:solidFill>
                    <a:schemeClr val="tx1">
                      <a:lumMod val="65000"/>
                      <a:lumOff val="35000"/>
                    </a:schemeClr>
                  </a:solidFill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sv-SE"/>
          </a:p>
        </c:txPr>
        <c:crossAx val="792037440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t"/>
      <c:layout>
        <c:manualLayout>
          <c:xMode val="edge"/>
          <c:yMode val="edge"/>
          <c:x val="9.870925734323148E-2"/>
          <c:y val="0"/>
          <c:w val="0.89999988493889804"/>
          <c:h val="6.8989387300524341E-2"/>
        </c:manualLayout>
      </c:layout>
      <c:overlay val="0"/>
      <c:txPr>
        <a:bodyPr/>
        <a:lstStyle/>
        <a:p>
          <a:pPr>
            <a:defRPr sz="110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sv-SE"/>
        </a:p>
      </c:txPr>
    </c:legend>
    <c:plotVisOnly val="1"/>
    <c:dispBlanksAs val="gap"/>
    <c:showDLblsOverMax val="0"/>
  </c:chart>
  <c:spPr>
    <a:solidFill>
      <a:sysClr val="window" lastClr="FFFFFF"/>
    </a:solidFill>
    <a:ln>
      <a:noFill/>
    </a:ln>
  </c:spPr>
  <c:txPr>
    <a:bodyPr/>
    <a:lstStyle/>
    <a:p>
      <a:pPr>
        <a:defRPr>
          <a:latin typeface="Museo 500" panose="02000000000000000000" pitchFamily="50" charset="0"/>
        </a:defRPr>
      </a:pPr>
      <a:endParaRPr lang="sv-S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244625226652109E-2"/>
          <c:y val="8.4209672700443924E-2"/>
          <c:w val="0.86650303625931513"/>
          <c:h val="0.78162167834836482"/>
        </c:manualLayout>
      </c:layout>
      <c:lineChart>
        <c:grouping val="standard"/>
        <c:varyColors val="0"/>
        <c:ser>
          <c:idx val="1"/>
          <c:order val="0"/>
          <c:spPr>
            <a:ln w="38100">
              <a:solidFill>
                <a:srgbClr val="00C0A9"/>
              </a:solidFill>
              <a:prstDash val="solid"/>
            </a:ln>
          </c:spPr>
          <c:marker>
            <c:symbol val="none"/>
          </c:marker>
          <c:dPt>
            <c:idx val="28"/>
            <c:bubble3D val="0"/>
            <c:extLst>
              <c:ext xmlns:c16="http://schemas.microsoft.com/office/drawing/2014/chart" uri="{C3380CC4-5D6E-409C-BE32-E72D297353CC}">
                <c16:uniqueId val="{00000000-69DA-43D0-AC1B-C2EC295D57AD}"/>
              </c:ext>
            </c:extLst>
          </c:dPt>
          <c:dPt>
            <c:idx val="29"/>
            <c:bubble3D val="0"/>
            <c:extLst>
              <c:ext xmlns:c16="http://schemas.microsoft.com/office/drawing/2014/chart" uri="{C3380CC4-5D6E-409C-BE32-E72D297353CC}">
                <c16:uniqueId val="{00000001-69DA-43D0-AC1B-C2EC295D57AD}"/>
              </c:ext>
            </c:extLst>
          </c:dPt>
          <c:dPt>
            <c:idx val="30"/>
            <c:bubble3D val="0"/>
            <c:extLst>
              <c:ext xmlns:c16="http://schemas.microsoft.com/office/drawing/2014/chart" uri="{C3380CC4-5D6E-409C-BE32-E72D297353CC}">
                <c16:uniqueId val="{00000002-69DA-43D0-AC1B-C2EC295D57AD}"/>
              </c:ext>
            </c:extLst>
          </c:dPt>
          <c:dPt>
            <c:idx val="31"/>
            <c:bubble3D val="0"/>
            <c:extLst>
              <c:ext xmlns:c16="http://schemas.microsoft.com/office/drawing/2014/chart" uri="{C3380CC4-5D6E-409C-BE32-E72D297353CC}">
                <c16:uniqueId val="{00000003-69DA-43D0-AC1B-C2EC295D57AD}"/>
              </c:ext>
            </c:extLst>
          </c:dPt>
          <c:dPt>
            <c:idx val="32"/>
            <c:bubble3D val="0"/>
            <c:extLst>
              <c:ext xmlns:c16="http://schemas.microsoft.com/office/drawing/2014/chart" uri="{C3380CC4-5D6E-409C-BE32-E72D297353CC}">
                <c16:uniqueId val="{00000004-69DA-43D0-AC1B-C2EC295D57AD}"/>
              </c:ext>
            </c:extLst>
          </c:dPt>
          <c:dPt>
            <c:idx val="33"/>
            <c:bubble3D val="0"/>
            <c:extLst>
              <c:ext xmlns:c16="http://schemas.microsoft.com/office/drawing/2014/chart" uri="{C3380CC4-5D6E-409C-BE32-E72D297353CC}">
                <c16:uniqueId val="{00000005-69DA-43D0-AC1B-C2EC295D57AD}"/>
              </c:ext>
            </c:extLst>
          </c:dPt>
          <c:dPt>
            <c:idx val="41"/>
            <c:bubble3D val="0"/>
            <c:extLst>
              <c:ext xmlns:c16="http://schemas.microsoft.com/office/drawing/2014/chart" uri="{C3380CC4-5D6E-409C-BE32-E72D297353CC}">
                <c16:uniqueId val="{00000006-69DA-43D0-AC1B-C2EC295D57AD}"/>
              </c:ext>
            </c:extLst>
          </c:dPt>
          <c:dPt>
            <c:idx val="61"/>
            <c:bubble3D val="0"/>
            <c:extLst>
              <c:ext xmlns:c16="http://schemas.microsoft.com/office/drawing/2014/chart" uri="{C3380CC4-5D6E-409C-BE32-E72D297353CC}">
                <c16:uniqueId val="{00000007-69DA-43D0-AC1B-C2EC295D57AD}"/>
              </c:ext>
            </c:extLst>
          </c:dPt>
          <c:dPt>
            <c:idx val="63"/>
            <c:bubble3D val="0"/>
            <c:extLst>
              <c:ext xmlns:c16="http://schemas.microsoft.com/office/drawing/2014/chart" uri="{C3380CC4-5D6E-409C-BE32-E72D297353CC}">
                <c16:uniqueId val="{00000008-69DA-43D0-AC1B-C2EC295D57AD}"/>
              </c:ext>
            </c:extLst>
          </c:dPt>
          <c:dPt>
            <c:idx val="64"/>
            <c:bubble3D val="0"/>
            <c:extLst>
              <c:ext xmlns:c16="http://schemas.microsoft.com/office/drawing/2014/chart" uri="{C3380CC4-5D6E-409C-BE32-E72D297353CC}">
                <c16:uniqueId val="{00000009-69DA-43D0-AC1B-C2EC295D57AD}"/>
              </c:ext>
            </c:extLst>
          </c:dPt>
          <c:dPt>
            <c:idx val="65"/>
            <c:bubble3D val="0"/>
            <c:extLst>
              <c:ext xmlns:c16="http://schemas.microsoft.com/office/drawing/2014/chart" uri="{C3380CC4-5D6E-409C-BE32-E72D297353CC}">
                <c16:uniqueId val="{0000000A-69DA-43D0-AC1B-C2EC295D57AD}"/>
              </c:ext>
            </c:extLst>
          </c:dPt>
          <c:dPt>
            <c:idx val="66"/>
            <c:bubble3D val="0"/>
            <c:extLst>
              <c:ext xmlns:c16="http://schemas.microsoft.com/office/drawing/2014/chart" uri="{C3380CC4-5D6E-409C-BE32-E72D297353CC}">
                <c16:uniqueId val="{0000000B-69DA-43D0-AC1B-C2EC295D57AD}"/>
              </c:ext>
            </c:extLst>
          </c:dPt>
          <c:dPt>
            <c:idx val="67"/>
            <c:bubble3D val="0"/>
            <c:extLst>
              <c:ext xmlns:c16="http://schemas.microsoft.com/office/drawing/2014/chart" uri="{C3380CC4-5D6E-409C-BE32-E72D297353CC}">
                <c16:uniqueId val="{0000000C-69DA-43D0-AC1B-C2EC295D57AD}"/>
              </c:ext>
            </c:extLst>
          </c:dPt>
          <c:dPt>
            <c:idx val="68"/>
            <c:bubble3D val="0"/>
            <c:extLst>
              <c:ext xmlns:c16="http://schemas.microsoft.com/office/drawing/2014/chart" uri="{C3380CC4-5D6E-409C-BE32-E72D297353CC}">
                <c16:uniqueId val="{0000000D-69DA-43D0-AC1B-C2EC295D57AD}"/>
              </c:ext>
            </c:extLst>
          </c:dPt>
          <c:dPt>
            <c:idx val="69"/>
            <c:bubble3D val="0"/>
            <c:extLst>
              <c:ext xmlns:c16="http://schemas.microsoft.com/office/drawing/2014/chart" uri="{C3380CC4-5D6E-409C-BE32-E72D297353CC}">
                <c16:uniqueId val="{0000000E-69DA-43D0-AC1B-C2EC295D57AD}"/>
              </c:ext>
            </c:extLst>
          </c:dPt>
          <c:dPt>
            <c:idx val="70"/>
            <c:bubble3D val="0"/>
            <c:extLst>
              <c:ext xmlns:c16="http://schemas.microsoft.com/office/drawing/2014/chart" uri="{C3380CC4-5D6E-409C-BE32-E72D297353CC}">
                <c16:uniqueId val="{0000000F-69DA-43D0-AC1B-C2EC295D57AD}"/>
              </c:ext>
            </c:extLst>
          </c:dPt>
          <c:dPt>
            <c:idx val="71"/>
            <c:bubble3D val="0"/>
            <c:spPr>
              <a:ln w="38100">
                <a:solidFill>
                  <a:srgbClr val="00C0A9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11-69DA-43D0-AC1B-C2EC295D57AD}"/>
              </c:ext>
            </c:extLst>
          </c:dPt>
          <c:dPt>
            <c:idx val="72"/>
            <c:bubble3D val="0"/>
            <c:spPr>
              <a:ln w="38100">
                <a:solidFill>
                  <a:srgbClr val="00C0A9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13-69DA-43D0-AC1B-C2EC295D57AD}"/>
              </c:ext>
            </c:extLst>
          </c:dPt>
          <c:cat>
            <c:strLit>
              <c:ptCount val="73"/>
              <c:pt idx="0">
                <c:v>1985</c:v>
              </c:pt>
              <c:pt idx="1">
                <c:v>1985</c:v>
              </c:pt>
              <c:pt idx="2">
                <c:v>1986</c:v>
              </c:pt>
              <c:pt idx="3">
                <c:v>1986</c:v>
              </c:pt>
              <c:pt idx="4">
                <c:v>1987</c:v>
              </c:pt>
              <c:pt idx="5">
                <c:v>1987</c:v>
              </c:pt>
              <c:pt idx="6">
                <c:v>1988</c:v>
              </c:pt>
              <c:pt idx="7">
                <c:v>1988</c:v>
              </c:pt>
              <c:pt idx="8">
                <c:v>1989</c:v>
              </c:pt>
              <c:pt idx="9">
                <c:v>1989</c:v>
              </c:pt>
              <c:pt idx="10">
                <c:v>1990</c:v>
              </c:pt>
              <c:pt idx="11">
                <c:v>1990</c:v>
              </c:pt>
              <c:pt idx="12">
                <c:v>1991</c:v>
              </c:pt>
              <c:pt idx="13">
                <c:v>1991</c:v>
              </c:pt>
              <c:pt idx="14">
                <c:v>1992</c:v>
              </c:pt>
              <c:pt idx="15">
                <c:v>1992</c:v>
              </c:pt>
              <c:pt idx="16">
                <c:v>1993</c:v>
              </c:pt>
              <c:pt idx="17">
                <c:v>1993</c:v>
              </c:pt>
              <c:pt idx="18">
                <c:v>1994</c:v>
              </c:pt>
              <c:pt idx="19">
                <c:v>1994</c:v>
              </c:pt>
              <c:pt idx="20">
                <c:v>1995</c:v>
              </c:pt>
              <c:pt idx="21">
                <c:v>1995</c:v>
              </c:pt>
              <c:pt idx="22">
                <c:v>1996</c:v>
              </c:pt>
              <c:pt idx="23">
                <c:v>1996</c:v>
              </c:pt>
              <c:pt idx="24">
                <c:v>1997</c:v>
              </c:pt>
              <c:pt idx="25">
                <c:v>1997</c:v>
              </c:pt>
              <c:pt idx="26">
                <c:v>1998</c:v>
              </c:pt>
              <c:pt idx="27">
                <c:v>1998</c:v>
              </c:pt>
              <c:pt idx="28">
                <c:v>1999</c:v>
              </c:pt>
              <c:pt idx="29">
                <c:v>1999</c:v>
              </c:pt>
              <c:pt idx="30">
                <c:v>2000</c:v>
              </c:pt>
              <c:pt idx="31">
                <c:v>2000</c:v>
              </c:pt>
              <c:pt idx="32">
                <c:v>2001</c:v>
              </c:pt>
              <c:pt idx="33">
                <c:v>2001</c:v>
              </c:pt>
              <c:pt idx="34">
                <c:v>2002</c:v>
              </c:pt>
              <c:pt idx="35">
                <c:v>2002</c:v>
              </c:pt>
              <c:pt idx="36">
                <c:v>2003</c:v>
              </c:pt>
              <c:pt idx="37">
                <c:v>2003</c:v>
              </c:pt>
              <c:pt idx="38">
                <c:v>2004</c:v>
              </c:pt>
              <c:pt idx="39">
                <c:v>2004</c:v>
              </c:pt>
              <c:pt idx="40">
                <c:v>2005</c:v>
              </c:pt>
              <c:pt idx="41">
                <c:v>2005</c:v>
              </c:pt>
              <c:pt idx="42">
                <c:v>2006</c:v>
              </c:pt>
              <c:pt idx="43">
                <c:v>2006</c:v>
              </c:pt>
              <c:pt idx="44">
                <c:v>2007</c:v>
              </c:pt>
              <c:pt idx="45">
                <c:v>2007</c:v>
              </c:pt>
              <c:pt idx="46">
                <c:v>2008</c:v>
              </c:pt>
              <c:pt idx="47">
                <c:v>2008</c:v>
              </c:pt>
              <c:pt idx="48">
                <c:v>2009</c:v>
              </c:pt>
              <c:pt idx="49">
                <c:v>2009</c:v>
              </c:pt>
              <c:pt idx="50">
                <c:v>2010</c:v>
              </c:pt>
              <c:pt idx="51">
                <c:v>2010</c:v>
              </c:pt>
              <c:pt idx="52">
                <c:v>2011</c:v>
              </c:pt>
              <c:pt idx="53">
                <c:v>2011</c:v>
              </c:pt>
              <c:pt idx="54">
                <c:v>2012</c:v>
              </c:pt>
              <c:pt idx="55">
                <c:v>2012</c:v>
              </c:pt>
              <c:pt idx="56">
                <c:v>2013</c:v>
              </c:pt>
              <c:pt idx="57">
                <c:v>2013</c:v>
              </c:pt>
              <c:pt idx="58">
                <c:v>2014</c:v>
              </c:pt>
              <c:pt idx="59">
                <c:v>2014</c:v>
              </c:pt>
              <c:pt idx="60">
                <c:v>2015</c:v>
              </c:pt>
              <c:pt idx="61">
                <c:v>2015</c:v>
              </c:pt>
              <c:pt idx="62">
                <c:v>2016</c:v>
              </c:pt>
              <c:pt idx="63">
                <c:v>2016</c:v>
              </c:pt>
              <c:pt idx="64">
                <c:v>2017</c:v>
              </c:pt>
              <c:pt idx="65">
                <c:v>2017</c:v>
              </c:pt>
              <c:pt idx="66">
                <c:v>2018</c:v>
              </c:pt>
              <c:pt idx="67">
                <c:v>2018</c:v>
              </c:pt>
              <c:pt idx="68">
                <c:v>2019</c:v>
              </c:pt>
              <c:pt idx="69">
                <c:v>2019</c:v>
              </c:pt>
              <c:pt idx="70">
                <c:v>2020</c:v>
              </c:pt>
              <c:pt idx="71">
                <c:v>2020</c:v>
              </c:pt>
              <c:pt idx="72">
                <c:v>2021</c:v>
              </c:pt>
            </c:strLit>
          </c:cat>
          <c:val>
            <c:numLit>
              <c:formatCode>General</c:formatCode>
              <c:ptCount val="73"/>
              <c:pt idx="0">
                <c:v>11</c:v>
              </c:pt>
              <c:pt idx="1">
                <c:v>11</c:v>
              </c:pt>
              <c:pt idx="2">
                <c:v>7</c:v>
              </c:pt>
              <c:pt idx="3">
                <c:v>10</c:v>
              </c:pt>
              <c:pt idx="4">
                <c:v>15</c:v>
              </c:pt>
              <c:pt idx="5">
                <c:v>13</c:v>
              </c:pt>
              <c:pt idx="6">
                <c:v>4</c:v>
              </c:pt>
              <c:pt idx="7">
                <c:v>8</c:v>
              </c:pt>
              <c:pt idx="8">
                <c:v>21</c:v>
              </c:pt>
              <c:pt idx="9">
                <c:v>21.3</c:v>
              </c:pt>
              <c:pt idx="10">
                <c:v>20.9</c:v>
              </c:pt>
              <c:pt idx="11">
                <c:v>14.2</c:v>
              </c:pt>
              <c:pt idx="12">
                <c:v>13</c:v>
              </c:pt>
              <c:pt idx="13">
                <c:v>2</c:v>
              </c:pt>
              <c:pt idx="14">
                <c:v>-2</c:v>
              </c:pt>
              <c:pt idx="15">
                <c:v>-2</c:v>
              </c:pt>
              <c:pt idx="16">
                <c:v>-2.5</c:v>
              </c:pt>
              <c:pt idx="17">
                <c:v>-3</c:v>
              </c:pt>
              <c:pt idx="18">
                <c:v>8</c:v>
              </c:pt>
              <c:pt idx="19">
                <c:v>19</c:v>
              </c:pt>
              <c:pt idx="20">
                <c:v>22</c:v>
              </c:pt>
              <c:pt idx="21">
                <c:v>22.5</c:v>
              </c:pt>
              <c:pt idx="22">
                <c:v>23</c:v>
              </c:pt>
              <c:pt idx="23">
                <c:v>18</c:v>
              </c:pt>
              <c:pt idx="24">
                <c:v>13</c:v>
              </c:pt>
              <c:pt idx="25">
                <c:v>19.5</c:v>
              </c:pt>
              <c:pt idx="26">
                <c:v>26</c:v>
              </c:pt>
              <c:pt idx="27">
                <c:v>19</c:v>
              </c:pt>
              <c:pt idx="28">
                <c:v>12</c:v>
              </c:pt>
              <c:pt idx="29">
                <c:v>14</c:v>
              </c:pt>
              <c:pt idx="30">
                <c:v>16</c:v>
              </c:pt>
              <c:pt idx="31">
                <c:v>22</c:v>
              </c:pt>
              <c:pt idx="32">
                <c:v>20</c:v>
              </c:pt>
              <c:pt idx="33">
                <c:v>11</c:v>
              </c:pt>
              <c:pt idx="34">
                <c:v>6</c:v>
              </c:pt>
              <c:pt idx="35">
                <c:v>8</c:v>
              </c:pt>
              <c:pt idx="36">
                <c:v>3</c:v>
              </c:pt>
              <c:pt idx="37">
                <c:v>3</c:v>
              </c:pt>
              <c:pt idx="38">
                <c:v>2</c:v>
              </c:pt>
              <c:pt idx="39">
                <c:v>5</c:v>
              </c:pt>
              <c:pt idx="40">
                <c:v>6</c:v>
              </c:pt>
              <c:pt idx="41">
                <c:v>9</c:v>
              </c:pt>
              <c:pt idx="42">
                <c:v>13</c:v>
              </c:pt>
              <c:pt idx="43">
                <c:v>16</c:v>
              </c:pt>
              <c:pt idx="44">
                <c:v>20</c:v>
              </c:pt>
              <c:pt idx="45">
                <c:v>21</c:v>
              </c:pt>
              <c:pt idx="46">
                <c:v>20</c:v>
              </c:pt>
              <c:pt idx="47">
                <c:v>16</c:v>
              </c:pt>
              <c:pt idx="48">
                <c:v>-1</c:v>
              </c:pt>
              <c:pt idx="49">
                <c:v>-6</c:v>
              </c:pt>
              <c:pt idx="50">
                <c:v>2</c:v>
              </c:pt>
              <c:pt idx="51">
                <c:v>11</c:v>
              </c:pt>
              <c:pt idx="52">
                <c:v>16</c:v>
              </c:pt>
              <c:pt idx="53">
                <c:v>13</c:v>
              </c:pt>
              <c:pt idx="54">
                <c:v>9</c:v>
              </c:pt>
              <c:pt idx="55">
                <c:v>10</c:v>
              </c:pt>
              <c:pt idx="56">
                <c:v>4</c:v>
              </c:pt>
              <c:pt idx="57">
                <c:v>8</c:v>
              </c:pt>
              <c:pt idx="58">
                <c:v>8.3999999999999986</c:v>
              </c:pt>
              <c:pt idx="59">
                <c:v>8.7999999999999989</c:v>
              </c:pt>
              <c:pt idx="60">
                <c:v>9.1999999999999993</c:v>
              </c:pt>
              <c:pt idx="61">
                <c:v>11.35</c:v>
              </c:pt>
              <c:pt idx="62">
                <c:v>13.5</c:v>
              </c:pt>
              <c:pt idx="63">
                <c:v>11.8</c:v>
              </c:pt>
              <c:pt idx="64">
                <c:v>10.100000000000001</c:v>
              </c:pt>
              <c:pt idx="65">
                <c:v>10.287407659257251</c:v>
              </c:pt>
              <c:pt idx="66">
                <c:v>10.4748153185145</c:v>
              </c:pt>
              <c:pt idx="67">
                <c:v>8.7799442790339004</c:v>
              </c:pt>
              <c:pt idx="68">
                <c:v>7.085073239553302</c:v>
              </c:pt>
              <c:pt idx="69">
                <c:v>7.0425366197766515</c:v>
              </c:pt>
              <c:pt idx="70">
                <c:v>7</c:v>
              </c:pt>
              <c:pt idx="71">
                <c:v>4</c:v>
              </c:pt>
              <c:pt idx="72">
                <c:v>1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14-69DA-43D0-AC1B-C2EC295D5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2029208"/>
        <c:axId val="792029600"/>
      </c:lineChart>
      <c:catAx>
        <c:axId val="792029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/>
          <a:lstStyle/>
          <a:p>
            <a:pPr>
              <a:defRPr sz="1050" b="0">
                <a:solidFill>
                  <a:schemeClr val="tx1">
                    <a:lumMod val="65000"/>
                    <a:lumOff val="35000"/>
                  </a:schemeClr>
                </a:solidFill>
                <a:latin typeface="Museo 500" panose="02000000000000000000" pitchFamily="50" charset="0"/>
                <a:cs typeface="Arial" panose="020B0604020202020204" pitchFamily="34" charset="0"/>
              </a:defRPr>
            </a:pPr>
            <a:endParaRPr lang="sv-SE"/>
          </a:p>
        </c:txPr>
        <c:crossAx val="792029600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792029600"/>
        <c:scaling>
          <c:orientation val="minMax"/>
          <c:max val="30"/>
          <c:min val="-10"/>
        </c:scaling>
        <c:delete val="0"/>
        <c:axPos val="l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  <a:latin typeface="Museo 500" panose="02000000000000000000" pitchFamily="50" charset="0"/>
                  </a:rPr>
                  <a:t>Sysselsättningsutveckling (nettotal)</a:t>
                </a:r>
                <a:endParaRPr lang="sv-SE" sz="100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  <a:latin typeface="Museo 500" panose="02000000000000000000" pitchFamily="50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u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500" panose="02000000000000000000" pitchFamily="50" charset="0"/>
                <a:cs typeface="Arial" panose="020B0604020202020204" pitchFamily="34" charset="0"/>
              </a:defRPr>
            </a:pPr>
            <a:endParaRPr lang="sv-SE"/>
          </a:p>
        </c:txPr>
        <c:crossAx val="792029208"/>
        <c:crosses val="autoZero"/>
        <c:crossBetween val="between"/>
        <c:majorUnit val="5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sv-SE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6623532307238968E-2"/>
          <c:y val="0.11651985040642134"/>
          <c:w val="0.87075513870355825"/>
          <c:h val="0.74931150064238738"/>
        </c:manualLayout>
      </c:layout>
      <c:lineChart>
        <c:grouping val="standard"/>
        <c:varyColors val="0"/>
        <c:ser>
          <c:idx val="1"/>
          <c:order val="0"/>
          <c:spPr>
            <a:ln w="38100">
              <a:solidFill>
                <a:srgbClr val="00C0A9"/>
              </a:solidFill>
              <a:prstDash val="solid"/>
            </a:ln>
          </c:spPr>
          <c:marker>
            <c:symbol val="none"/>
          </c:marker>
          <c:dPt>
            <c:idx val="28"/>
            <c:bubble3D val="0"/>
            <c:extLst>
              <c:ext xmlns:c16="http://schemas.microsoft.com/office/drawing/2014/chart" uri="{C3380CC4-5D6E-409C-BE32-E72D297353CC}">
                <c16:uniqueId val="{00000000-6F67-4B86-A983-19BB095E61D6}"/>
              </c:ext>
            </c:extLst>
          </c:dPt>
          <c:dPt>
            <c:idx val="29"/>
            <c:bubble3D val="0"/>
            <c:extLst>
              <c:ext xmlns:c16="http://schemas.microsoft.com/office/drawing/2014/chart" uri="{C3380CC4-5D6E-409C-BE32-E72D297353CC}">
                <c16:uniqueId val="{00000001-6F67-4B86-A983-19BB095E61D6}"/>
              </c:ext>
            </c:extLst>
          </c:dPt>
          <c:dPt>
            <c:idx val="30"/>
            <c:bubble3D val="0"/>
            <c:extLst>
              <c:ext xmlns:c16="http://schemas.microsoft.com/office/drawing/2014/chart" uri="{C3380CC4-5D6E-409C-BE32-E72D297353CC}">
                <c16:uniqueId val="{00000002-6F67-4B86-A983-19BB095E61D6}"/>
              </c:ext>
            </c:extLst>
          </c:dPt>
          <c:dPt>
            <c:idx val="31"/>
            <c:bubble3D val="0"/>
            <c:extLst>
              <c:ext xmlns:c16="http://schemas.microsoft.com/office/drawing/2014/chart" uri="{C3380CC4-5D6E-409C-BE32-E72D297353CC}">
                <c16:uniqueId val="{00000003-6F67-4B86-A983-19BB095E61D6}"/>
              </c:ext>
            </c:extLst>
          </c:dPt>
          <c:dPt>
            <c:idx val="32"/>
            <c:bubble3D val="0"/>
            <c:extLst>
              <c:ext xmlns:c16="http://schemas.microsoft.com/office/drawing/2014/chart" uri="{C3380CC4-5D6E-409C-BE32-E72D297353CC}">
                <c16:uniqueId val="{00000004-6F67-4B86-A983-19BB095E61D6}"/>
              </c:ext>
            </c:extLst>
          </c:dPt>
          <c:dPt>
            <c:idx val="33"/>
            <c:bubble3D val="0"/>
            <c:extLst>
              <c:ext xmlns:c16="http://schemas.microsoft.com/office/drawing/2014/chart" uri="{C3380CC4-5D6E-409C-BE32-E72D297353CC}">
                <c16:uniqueId val="{00000005-6F67-4B86-A983-19BB095E61D6}"/>
              </c:ext>
            </c:extLst>
          </c:dPt>
          <c:dPt>
            <c:idx val="41"/>
            <c:bubble3D val="0"/>
            <c:extLst>
              <c:ext xmlns:c16="http://schemas.microsoft.com/office/drawing/2014/chart" uri="{C3380CC4-5D6E-409C-BE32-E72D297353CC}">
                <c16:uniqueId val="{00000006-6F67-4B86-A983-19BB095E61D6}"/>
              </c:ext>
            </c:extLst>
          </c:dPt>
          <c:dPt>
            <c:idx val="61"/>
            <c:bubble3D val="0"/>
            <c:extLst>
              <c:ext xmlns:c16="http://schemas.microsoft.com/office/drawing/2014/chart" uri="{C3380CC4-5D6E-409C-BE32-E72D297353CC}">
                <c16:uniqueId val="{00000007-6F67-4B86-A983-19BB095E61D6}"/>
              </c:ext>
            </c:extLst>
          </c:dPt>
          <c:dPt>
            <c:idx val="63"/>
            <c:bubble3D val="0"/>
            <c:extLst>
              <c:ext xmlns:c16="http://schemas.microsoft.com/office/drawing/2014/chart" uri="{C3380CC4-5D6E-409C-BE32-E72D297353CC}">
                <c16:uniqueId val="{00000008-6F67-4B86-A983-19BB095E61D6}"/>
              </c:ext>
            </c:extLst>
          </c:dPt>
          <c:dPt>
            <c:idx val="64"/>
            <c:bubble3D val="0"/>
            <c:extLst>
              <c:ext xmlns:c16="http://schemas.microsoft.com/office/drawing/2014/chart" uri="{C3380CC4-5D6E-409C-BE32-E72D297353CC}">
                <c16:uniqueId val="{00000009-6F67-4B86-A983-19BB095E61D6}"/>
              </c:ext>
            </c:extLst>
          </c:dPt>
          <c:dPt>
            <c:idx val="65"/>
            <c:bubble3D val="0"/>
            <c:extLst>
              <c:ext xmlns:c16="http://schemas.microsoft.com/office/drawing/2014/chart" uri="{C3380CC4-5D6E-409C-BE32-E72D297353CC}">
                <c16:uniqueId val="{0000000A-6F67-4B86-A983-19BB095E61D6}"/>
              </c:ext>
            </c:extLst>
          </c:dPt>
          <c:dPt>
            <c:idx val="66"/>
            <c:bubble3D val="0"/>
            <c:extLst>
              <c:ext xmlns:c16="http://schemas.microsoft.com/office/drawing/2014/chart" uri="{C3380CC4-5D6E-409C-BE32-E72D297353CC}">
                <c16:uniqueId val="{0000000B-6F67-4B86-A983-19BB095E61D6}"/>
              </c:ext>
            </c:extLst>
          </c:dPt>
          <c:dPt>
            <c:idx val="67"/>
            <c:bubble3D val="0"/>
            <c:extLst>
              <c:ext xmlns:c16="http://schemas.microsoft.com/office/drawing/2014/chart" uri="{C3380CC4-5D6E-409C-BE32-E72D297353CC}">
                <c16:uniqueId val="{0000000C-6F67-4B86-A983-19BB095E61D6}"/>
              </c:ext>
            </c:extLst>
          </c:dPt>
          <c:dPt>
            <c:idx val="68"/>
            <c:bubble3D val="0"/>
            <c:extLst>
              <c:ext xmlns:c16="http://schemas.microsoft.com/office/drawing/2014/chart" uri="{C3380CC4-5D6E-409C-BE32-E72D297353CC}">
                <c16:uniqueId val="{0000000D-6F67-4B86-A983-19BB095E61D6}"/>
              </c:ext>
            </c:extLst>
          </c:dPt>
          <c:dPt>
            <c:idx val="69"/>
            <c:bubble3D val="0"/>
            <c:extLst>
              <c:ext xmlns:c16="http://schemas.microsoft.com/office/drawing/2014/chart" uri="{C3380CC4-5D6E-409C-BE32-E72D297353CC}">
                <c16:uniqueId val="{0000000E-6F67-4B86-A983-19BB095E61D6}"/>
              </c:ext>
            </c:extLst>
          </c:dPt>
          <c:dPt>
            <c:idx val="70"/>
            <c:bubble3D val="0"/>
            <c:extLst>
              <c:ext xmlns:c16="http://schemas.microsoft.com/office/drawing/2014/chart" uri="{C3380CC4-5D6E-409C-BE32-E72D297353CC}">
                <c16:uniqueId val="{0000000F-6F67-4B86-A983-19BB095E61D6}"/>
              </c:ext>
            </c:extLst>
          </c:dPt>
          <c:dPt>
            <c:idx val="71"/>
            <c:bubble3D val="0"/>
            <c:spPr>
              <a:ln w="38100">
                <a:solidFill>
                  <a:srgbClr val="00C0A9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11-6F67-4B86-A983-19BB095E61D6}"/>
              </c:ext>
            </c:extLst>
          </c:dPt>
          <c:dPt>
            <c:idx val="72"/>
            <c:bubble3D val="0"/>
            <c:spPr>
              <a:ln w="38100">
                <a:solidFill>
                  <a:srgbClr val="00C0A9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13-6F67-4B86-A983-19BB095E61D6}"/>
              </c:ext>
            </c:extLst>
          </c:dPt>
          <c:cat>
            <c:strLit>
              <c:ptCount val="73"/>
              <c:pt idx="0">
                <c:v>1985</c:v>
              </c:pt>
              <c:pt idx="1">
                <c:v>1985</c:v>
              </c:pt>
              <c:pt idx="2">
                <c:v>1986</c:v>
              </c:pt>
              <c:pt idx="3">
                <c:v>1986</c:v>
              </c:pt>
              <c:pt idx="4">
                <c:v>1987</c:v>
              </c:pt>
              <c:pt idx="5">
                <c:v>1987</c:v>
              </c:pt>
              <c:pt idx="6">
                <c:v>1988</c:v>
              </c:pt>
              <c:pt idx="7">
                <c:v>1988</c:v>
              </c:pt>
              <c:pt idx="8">
                <c:v>1989</c:v>
              </c:pt>
              <c:pt idx="9">
                <c:v>1989</c:v>
              </c:pt>
              <c:pt idx="10">
                <c:v>1990</c:v>
              </c:pt>
              <c:pt idx="11">
                <c:v>1990</c:v>
              </c:pt>
              <c:pt idx="12">
                <c:v>1991</c:v>
              </c:pt>
              <c:pt idx="13">
                <c:v>1991</c:v>
              </c:pt>
              <c:pt idx="14">
                <c:v>1992</c:v>
              </c:pt>
              <c:pt idx="15">
                <c:v>1992</c:v>
              </c:pt>
              <c:pt idx="16">
                <c:v>1993</c:v>
              </c:pt>
              <c:pt idx="17">
                <c:v>1993</c:v>
              </c:pt>
              <c:pt idx="18">
                <c:v>1994</c:v>
              </c:pt>
              <c:pt idx="19">
                <c:v>1994</c:v>
              </c:pt>
              <c:pt idx="20">
                <c:v>1995</c:v>
              </c:pt>
              <c:pt idx="21">
                <c:v>1995</c:v>
              </c:pt>
              <c:pt idx="22">
                <c:v>1996</c:v>
              </c:pt>
              <c:pt idx="23">
                <c:v>1996</c:v>
              </c:pt>
              <c:pt idx="24">
                <c:v>1997</c:v>
              </c:pt>
              <c:pt idx="25">
                <c:v>1997</c:v>
              </c:pt>
              <c:pt idx="26">
                <c:v>1998</c:v>
              </c:pt>
              <c:pt idx="27">
                <c:v>1998</c:v>
              </c:pt>
              <c:pt idx="28">
                <c:v>1999</c:v>
              </c:pt>
              <c:pt idx="29">
                <c:v>1999</c:v>
              </c:pt>
              <c:pt idx="30">
                <c:v>2000</c:v>
              </c:pt>
              <c:pt idx="31">
                <c:v>2000</c:v>
              </c:pt>
              <c:pt idx="32">
                <c:v>2001</c:v>
              </c:pt>
              <c:pt idx="33">
                <c:v>2001</c:v>
              </c:pt>
              <c:pt idx="34">
                <c:v>2002</c:v>
              </c:pt>
              <c:pt idx="35">
                <c:v>2002</c:v>
              </c:pt>
              <c:pt idx="36">
                <c:v>2003</c:v>
              </c:pt>
              <c:pt idx="37">
                <c:v>2003</c:v>
              </c:pt>
              <c:pt idx="38">
                <c:v>2004</c:v>
              </c:pt>
              <c:pt idx="39">
                <c:v>2004</c:v>
              </c:pt>
              <c:pt idx="40">
                <c:v>2005</c:v>
              </c:pt>
              <c:pt idx="41">
                <c:v>2005</c:v>
              </c:pt>
              <c:pt idx="42">
                <c:v>2006</c:v>
              </c:pt>
              <c:pt idx="43">
                <c:v>2006</c:v>
              </c:pt>
              <c:pt idx="44">
                <c:v>2007</c:v>
              </c:pt>
              <c:pt idx="45">
                <c:v>2007</c:v>
              </c:pt>
              <c:pt idx="46">
                <c:v>2008</c:v>
              </c:pt>
              <c:pt idx="47">
                <c:v>2008</c:v>
              </c:pt>
              <c:pt idx="48">
                <c:v>2009</c:v>
              </c:pt>
              <c:pt idx="49">
                <c:v>2009</c:v>
              </c:pt>
              <c:pt idx="50">
                <c:v>2010</c:v>
              </c:pt>
              <c:pt idx="51">
                <c:v>2010</c:v>
              </c:pt>
              <c:pt idx="52">
                <c:v>2011</c:v>
              </c:pt>
              <c:pt idx="53">
                <c:v>2011</c:v>
              </c:pt>
              <c:pt idx="54">
                <c:v>2012</c:v>
              </c:pt>
              <c:pt idx="55">
                <c:v>2012</c:v>
              </c:pt>
              <c:pt idx="56">
                <c:v>2013</c:v>
              </c:pt>
              <c:pt idx="57">
                <c:v>2013</c:v>
              </c:pt>
              <c:pt idx="58">
                <c:v>2014</c:v>
              </c:pt>
              <c:pt idx="59">
                <c:v>2014</c:v>
              </c:pt>
              <c:pt idx="60">
                <c:v>2015</c:v>
              </c:pt>
              <c:pt idx="61">
                <c:v>2015</c:v>
              </c:pt>
              <c:pt idx="62">
                <c:v>2016</c:v>
              </c:pt>
              <c:pt idx="63">
                <c:v>2016</c:v>
              </c:pt>
              <c:pt idx="64">
                <c:v>2017</c:v>
              </c:pt>
              <c:pt idx="65">
                <c:v>2017</c:v>
              </c:pt>
              <c:pt idx="66">
                <c:v>2018</c:v>
              </c:pt>
              <c:pt idx="67">
                <c:v>2018</c:v>
              </c:pt>
              <c:pt idx="68">
                <c:v>2019</c:v>
              </c:pt>
              <c:pt idx="69">
                <c:v>2019</c:v>
              </c:pt>
              <c:pt idx="70">
                <c:v>2020</c:v>
              </c:pt>
              <c:pt idx="71">
                <c:v>2020</c:v>
              </c:pt>
              <c:pt idx="72">
                <c:v>2021</c:v>
              </c:pt>
            </c:strLit>
          </c:cat>
          <c:val>
            <c:numLit>
              <c:formatCode>General</c:formatCode>
              <c:ptCount val="73"/>
              <c:pt idx="0">
                <c:v>45</c:v>
              </c:pt>
              <c:pt idx="1">
                <c:v>40</c:v>
              </c:pt>
              <c:pt idx="2">
                <c:v>44</c:v>
              </c:pt>
              <c:pt idx="3">
                <c:v>44</c:v>
              </c:pt>
              <c:pt idx="4">
                <c:v>38</c:v>
              </c:pt>
              <c:pt idx="5">
                <c:v>47</c:v>
              </c:pt>
              <c:pt idx="6">
                <c:v>33</c:v>
              </c:pt>
              <c:pt idx="7">
                <c:v>40</c:v>
              </c:pt>
              <c:pt idx="8">
                <c:v>48.6</c:v>
              </c:pt>
              <c:pt idx="9">
                <c:v>52.8</c:v>
              </c:pt>
              <c:pt idx="10">
                <c:v>46.2</c:v>
              </c:pt>
              <c:pt idx="11">
                <c:v>34.799999999999997</c:v>
              </c:pt>
              <c:pt idx="12">
                <c:v>11</c:v>
              </c:pt>
              <c:pt idx="13">
                <c:v>-2</c:v>
              </c:pt>
              <c:pt idx="14">
                <c:v>-8</c:v>
              </c:pt>
              <c:pt idx="15">
                <c:v>-8</c:v>
              </c:pt>
              <c:pt idx="16">
                <c:v>2</c:v>
              </c:pt>
              <c:pt idx="17">
                <c:v>12</c:v>
              </c:pt>
              <c:pt idx="18">
                <c:v>26.5</c:v>
              </c:pt>
              <c:pt idx="19">
                <c:v>41</c:v>
              </c:pt>
              <c:pt idx="20">
                <c:v>51</c:v>
              </c:pt>
              <c:pt idx="21">
                <c:v>47.5</c:v>
              </c:pt>
              <c:pt idx="22">
                <c:v>44</c:v>
              </c:pt>
              <c:pt idx="23">
                <c:v>36</c:v>
              </c:pt>
              <c:pt idx="24">
                <c:v>28</c:v>
              </c:pt>
              <c:pt idx="25">
                <c:v>34</c:v>
              </c:pt>
              <c:pt idx="26">
                <c:v>40</c:v>
              </c:pt>
              <c:pt idx="27">
                <c:v>36</c:v>
              </c:pt>
              <c:pt idx="28">
                <c:v>32</c:v>
              </c:pt>
              <c:pt idx="29">
                <c:v>39.5</c:v>
              </c:pt>
              <c:pt idx="30">
                <c:v>47</c:v>
              </c:pt>
              <c:pt idx="31">
                <c:v>52</c:v>
              </c:pt>
              <c:pt idx="32">
                <c:v>44</c:v>
              </c:pt>
              <c:pt idx="33">
                <c:v>25</c:v>
              </c:pt>
              <c:pt idx="34">
                <c:v>20</c:v>
              </c:pt>
              <c:pt idx="35">
                <c:v>20</c:v>
              </c:pt>
              <c:pt idx="36">
                <c:v>19</c:v>
              </c:pt>
              <c:pt idx="37">
                <c:v>16</c:v>
              </c:pt>
              <c:pt idx="38">
                <c:v>15</c:v>
              </c:pt>
              <c:pt idx="39">
                <c:v>32</c:v>
              </c:pt>
              <c:pt idx="40">
                <c:v>29</c:v>
              </c:pt>
              <c:pt idx="41">
                <c:v>41</c:v>
              </c:pt>
              <c:pt idx="42">
                <c:v>46</c:v>
              </c:pt>
              <c:pt idx="43">
                <c:v>54</c:v>
              </c:pt>
              <c:pt idx="44">
                <c:v>48</c:v>
              </c:pt>
              <c:pt idx="45">
                <c:v>49</c:v>
              </c:pt>
              <c:pt idx="46">
                <c:v>43</c:v>
              </c:pt>
              <c:pt idx="47">
                <c:v>31</c:v>
              </c:pt>
              <c:pt idx="48">
                <c:v>0.7</c:v>
              </c:pt>
              <c:pt idx="49">
                <c:v>1</c:v>
              </c:pt>
              <c:pt idx="50">
                <c:v>15</c:v>
              </c:pt>
              <c:pt idx="51">
                <c:v>41</c:v>
              </c:pt>
              <c:pt idx="52">
                <c:v>39</c:v>
              </c:pt>
              <c:pt idx="53">
                <c:v>36</c:v>
              </c:pt>
              <c:pt idx="54">
                <c:v>24</c:v>
              </c:pt>
              <c:pt idx="55">
                <c:v>18</c:v>
              </c:pt>
              <c:pt idx="56">
                <c:v>12</c:v>
              </c:pt>
              <c:pt idx="57">
                <c:v>27</c:v>
              </c:pt>
              <c:pt idx="58">
                <c:v>26.533333333333331</c:v>
              </c:pt>
              <c:pt idx="59">
                <c:v>26.066666666666666</c:v>
              </c:pt>
              <c:pt idx="60">
                <c:v>25.6</c:v>
              </c:pt>
              <c:pt idx="61">
                <c:v>29.450000000000003</c:v>
              </c:pt>
              <c:pt idx="62">
                <c:v>33.300000000000004</c:v>
              </c:pt>
              <c:pt idx="63">
                <c:v>32.6</c:v>
              </c:pt>
              <c:pt idx="64">
                <c:v>31.899999999999995</c:v>
              </c:pt>
              <c:pt idx="65">
                <c:v>30.359122947429046</c:v>
              </c:pt>
              <c:pt idx="66">
                <c:v>28.818245894858098</c:v>
              </c:pt>
              <c:pt idx="67">
                <c:v>26.803855042271149</c:v>
              </c:pt>
              <c:pt idx="68">
                <c:v>24.7894641896842</c:v>
              </c:pt>
              <c:pt idx="69">
                <c:v>22.894732094842098</c:v>
              </c:pt>
              <c:pt idx="70">
                <c:v>21</c:v>
              </c:pt>
              <c:pt idx="71">
                <c:v>9</c:v>
              </c:pt>
              <c:pt idx="72">
                <c:v>-3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14-6F67-4B86-A983-19BB095E61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2030384"/>
        <c:axId val="792030776"/>
      </c:lineChart>
      <c:catAx>
        <c:axId val="79203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/>
          <a:lstStyle/>
          <a:p>
            <a:pPr>
              <a:defRPr sz="1050" b="0">
                <a:solidFill>
                  <a:schemeClr val="tx1">
                    <a:lumMod val="65000"/>
                    <a:lumOff val="35000"/>
                  </a:schemeClr>
                </a:solidFill>
                <a:latin typeface="Museo 500" panose="02000000000000000000" pitchFamily="50" charset="0"/>
                <a:cs typeface="Arial" panose="020B0604020202020204" pitchFamily="34" charset="0"/>
              </a:defRPr>
            </a:pPr>
            <a:endParaRPr lang="sv-SE"/>
          </a:p>
        </c:txPr>
        <c:crossAx val="792030776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792030776"/>
        <c:scaling>
          <c:orientation val="minMax"/>
          <c:min val="-10"/>
        </c:scaling>
        <c:delete val="0"/>
        <c:axPos val="l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  <a:latin typeface="Museo 500" panose="02000000000000000000" pitchFamily="50" charset="0"/>
                  </a:rPr>
                  <a:t>Orderutveckling (nettotal)</a:t>
                </a:r>
                <a:endParaRPr lang="sv-SE" sz="100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  <a:latin typeface="Museo 500" panose="02000000000000000000" pitchFamily="50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u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500" panose="02000000000000000000" pitchFamily="50" charset="0"/>
                <a:cs typeface="Arial" panose="020B0604020202020204" pitchFamily="34" charset="0"/>
              </a:defRPr>
            </a:pPr>
            <a:endParaRPr lang="sv-SE"/>
          </a:p>
        </c:txPr>
        <c:crossAx val="79203038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sv-SE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6623532307238968E-2"/>
          <c:y val="0.12459739483291568"/>
          <c:w val="0.83198929816953826"/>
          <c:h val="0.74123395621589305"/>
        </c:manualLayout>
      </c:layout>
      <c:lineChart>
        <c:grouping val="standard"/>
        <c:varyColors val="0"/>
        <c:ser>
          <c:idx val="1"/>
          <c:order val="0"/>
          <c:spPr>
            <a:ln w="38100">
              <a:solidFill>
                <a:srgbClr val="00C0A9"/>
              </a:solidFill>
              <a:prstDash val="solid"/>
            </a:ln>
          </c:spPr>
          <c:marker>
            <c:symbol val="none"/>
          </c:marker>
          <c:dPt>
            <c:idx val="28"/>
            <c:bubble3D val="0"/>
            <c:extLst>
              <c:ext xmlns:c16="http://schemas.microsoft.com/office/drawing/2014/chart" uri="{C3380CC4-5D6E-409C-BE32-E72D297353CC}">
                <c16:uniqueId val="{00000000-C3BC-4731-B5E8-8E4D69326476}"/>
              </c:ext>
            </c:extLst>
          </c:dPt>
          <c:dPt>
            <c:idx val="29"/>
            <c:bubble3D val="0"/>
            <c:extLst>
              <c:ext xmlns:c16="http://schemas.microsoft.com/office/drawing/2014/chart" uri="{C3380CC4-5D6E-409C-BE32-E72D297353CC}">
                <c16:uniqueId val="{00000001-C3BC-4731-B5E8-8E4D69326476}"/>
              </c:ext>
            </c:extLst>
          </c:dPt>
          <c:dPt>
            <c:idx val="30"/>
            <c:bubble3D val="0"/>
            <c:extLst>
              <c:ext xmlns:c16="http://schemas.microsoft.com/office/drawing/2014/chart" uri="{C3380CC4-5D6E-409C-BE32-E72D297353CC}">
                <c16:uniqueId val="{00000002-C3BC-4731-B5E8-8E4D69326476}"/>
              </c:ext>
            </c:extLst>
          </c:dPt>
          <c:dPt>
            <c:idx val="31"/>
            <c:bubble3D val="0"/>
            <c:extLst>
              <c:ext xmlns:c16="http://schemas.microsoft.com/office/drawing/2014/chart" uri="{C3380CC4-5D6E-409C-BE32-E72D297353CC}">
                <c16:uniqueId val="{00000003-C3BC-4731-B5E8-8E4D69326476}"/>
              </c:ext>
            </c:extLst>
          </c:dPt>
          <c:dPt>
            <c:idx val="32"/>
            <c:bubble3D val="0"/>
            <c:extLst>
              <c:ext xmlns:c16="http://schemas.microsoft.com/office/drawing/2014/chart" uri="{C3380CC4-5D6E-409C-BE32-E72D297353CC}">
                <c16:uniqueId val="{00000004-C3BC-4731-B5E8-8E4D69326476}"/>
              </c:ext>
            </c:extLst>
          </c:dPt>
          <c:dPt>
            <c:idx val="33"/>
            <c:bubble3D val="0"/>
            <c:extLst>
              <c:ext xmlns:c16="http://schemas.microsoft.com/office/drawing/2014/chart" uri="{C3380CC4-5D6E-409C-BE32-E72D297353CC}">
                <c16:uniqueId val="{00000005-C3BC-4731-B5E8-8E4D69326476}"/>
              </c:ext>
            </c:extLst>
          </c:dPt>
          <c:dPt>
            <c:idx val="41"/>
            <c:bubble3D val="0"/>
            <c:extLst>
              <c:ext xmlns:c16="http://schemas.microsoft.com/office/drawing/2014/chart" uri="{C3380CC4-5D6E-409C-BE32-E72D297353CC}">
                <c16:uniqueId val="{00000006-C3BC-4731-B5E8-8E4D69326476}"/>
              </c:ext>
            </c:extLst>
          </c:dPt>
          <c:dPt>
            <c:idx val="61"/>
            <c:bubble3D val="0"/>
            <c:extLst>
              <c:ext xmlns:c16="http://schemas.microsoft.com/office/drawing/2014/chart" uri="{C3380CC4-5D6E-409C-BE32-E72D297353CC}">
                <c16:uniqueId val="{00000007-C3BC-4731-B5E8-8E4D69326476}"/>
              </c:ext>
            </c:extLst>
          </c:dPt>
          <c:dPt>
            <c:idx val="63"/>
            <c:bubble3D val="0"/>
            <c:extLst>
              <c:ext xmlns:c16="http://schemas.microsoft.com/office/drawing/2014/chart" uri="{C3380CC4-5D6E-409C-BE32-E72D297353CC}">
                <c16:uniqueId val="{00000008-C3BC-4731-B5E8-8E4D69326476}"/>
              </c:ext>
            </c:extLst>
          </c:dPt>
          <c:dPt>
            <c:idx val="64"/>
            <c:bubble3D val="0"/>
            <c:extLst>
              <c:ext xmlns:c16="http://schemas.microsoft.com/office/drawing/2014/chart" uri="{C3380CC4-5D6E-409C-BE32-E72D297353CC}">
                <c16:uniqueId val="{00000009-C3BC-4731-B5E8-8E4D69326476}"/>
              </c:ext>
            </c:extLst>
          </c:dPt>
          <c:dPt>
            <c:idx val="65"/>
            <c:bubble3D val="0"/>
            <c:extLst>
              <c:ext xmlns:c16="http://schemas.microsoft.com/office/drawing/2014/chart" uri="{C3380CC4-5D6E-409C-BE32-E72D297353CC}">
                <c16:uniqueId val="{0000000A-C3BC-4731-B5E8-8E4D69326476}"/>
              </c:ext>
            </c:extLst>
          </c:dPt>
          <c:dPt>
            <c:idx val="66"/>
            <c:bubble3D val="0"/>
            <c:extLst>
              <c:ext xmlns:c16="http://schemas.microsoft.com/office/drawing/2014/chart" uri="{C3380CC4-5D6E-409C-BE32-E72D297353CC}">
                <c16:uniqueId val="{0000000B-C3BC-4731-B5E8-8E4D69326476}"/>
              </c:ext>
            </c:extLst>
          </c:dPt>
          <c:dPt>
            <c:idx val="67"/>
            <c:bubble3D val="0"/>
            <c:extLst>
              <c:ext xmlns:c16="http://schemas.microsoft.com/office/drawing/2014/chart" uri="{C3380CC4-5D6E-409C-BE32-E72D297353CC}">
                <c16:uniqueId val="{0000000C-C3BC-4731-B5E8-8E4D69326476}"/>
              </c:ext>
            </c:extLst>
          </c:dPt>
          <c:dPt>
            <c:idx val="68"/>
            <c:bubble3D val="0"/>
            <c:extLst>
              <c:ext xmlns:c16="http://schemas.microsoft.com/office/drawing/2014/chart" uri="{C3380CC4-5D6E-409C-BE32-E72D297353CC}">
                <c16:uniqueId val="{0000000D-C3BC-4731-B5E8-8E4D69326476}"/>
              </c:ext>
            </c:extLst>
          </c:dPt>
          <c:dPt>
            <c:idx val="69"/>
            <c:bubble3D val="0"/>
            <c:extLst>
              <c:ext xmlns:c16="http://schemas.microsoft.com/office/drawing/2014/chart" uri="{C3380CC4-5D6E-409C-BE32-E72D297353CC}">
                <c16:uniqueId val="{0000000E-C3BC-4731-B5E8-8E4D69326476}"/>
              </c:ext>
            </c:extLst>
          </c:dPt>
          <c:dPt>
            <c:idx val="70"/>
            <c:bubble3D val="0"/>
            <c:extLst>
              <c:ext xmlns:c16="http://schemas.microsoft.com/office/drawing/2014/chart" uri="{C3380CC4-5D6E-409C-BE32-E72D297353CC}">
                <c16:uniqueId val="{0000000F-C3BC-4731-B5E8-8E4D69326476}"/>
              </c:ext>
            </c:extLst>
          </c:dPt>
          <c:dPt>
            <c:idx val="71"/>
            <c:bubble3D val="0"/>
            <c:spPr>
              <a:ln w="38100">
                <a:solidFill>
                  <a:srgbClr val="00C0A9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11-C3BC-4731-B5E8-8E4D69326476}"/>
              </c:ext>
            </c:extLst>
          </c:dPt>
          <c:dPt>
            <c:idx val="72"/>
            <c:bubble3D val="0"/>
            <c:spPr>
              <a:ln w="38100">
                <a:solidFill>
                  <a:srgbClr val="00C0A9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13-C3BC-4731-B5E8-8E4D69326476}"/>
              </c:ext>
            </c:extLst>
          </c:dPt>
          <c:cat>
            <c:strLit>
              <c:ptCount val="73"/>
              <c:pt idx="0">
                <c:v>1985</c:v>
              </c:pt>
              <c:pt idx="1">
                <c:v>1985</c:v>
              </c:pt>
              <c:pt idx="2">
                <c:v>1986</c:v>
              </c:pt>
              <c:pt idx="3">
                <c:v>1986</c:v>
              </c:pt>
              <c:pt idx="4">
                <c:v>1987</c:v>
              </c:pt>
              <c:pt idx="5">
                <c:v>1987</c:v>
              </c:pt>
              <c:pt idx="6">
                <c:v>1988</c:v>
              </c:pt>
              <c:pt idx="7">
                <c:v>1988</c:v>
              </c:pt>
              <c:pt idx="8">
                <c:v>1989</c:v>
              </c:pt>
              <c:pt idx="9">
                <c:v>1989</c:v>
              </c:pt>
              <c:pt idx="10">
                <c:v>1990</c:v>
              </c:pt>
              <c:pt idx="11">
                <c:v>1990</c:v>
              </c:pt>
              <c:pt idx="12">
                <c:v>1991</c:v>
              </c:pt>
              <c:pt idx="13">
                <c:v>1991</c:v>
              </c:pt>
              <c:pt idx="14">
                <c:v>1992</c:v>
              </c:pt>
              <c:pt idx="15">
                <c:v>1992</c:v>
              </c:pt>
              <c:pt idx="16">
                <c:v>1993</c:v>
              </c:pt>
              <c:pt idx="17">
                <c:v>1993</c:v>
              </c:pt>
              <c:pt idx="18">
                <c:v>1994</c:v>
              </c:pt>
              <c:pt idx="19">
                <c:v>1994</c:v>
              </c:pt>
              <c:pt idx="20">
                <c:v>1995</c:v>
              </c:pt>
              <c:pt idx="21">
                <c:v>1995</c:v>
              </c:pt>
              <c:pt idx="22">
                <c:v>1996</c:v>
              </c:pt>
              <c:pt idx="23">
                <c:v>1996</c:v>
              </c:pt>
              <c:pt idx="24">
                <c:v>1997</c:v>
              </c:pt>
              <c:pt idx="25">
                <c:v>1997</c:v>
              </c:pt>
              <c:pt idx="26">
                <c:v>1998</c:v>
              </c:pt>
              <c:pt idx="27">
                <c:v>1998</c:v>
              </c:pt>
              <c:pt idx="28">
                <c:v>1999</c:v>
              </c:pt>
              <c:pt idx="29">
                <c:v>1999</c:v>
              </c:pt>
              <c:pt idx="30">
                <c:v>2000</c:v>
              </c:pt>
              <c:pt idx="31">
                <c:v>2000</c:v>
              </c:pt>
              <c:pt idx="32">
                <c:v>2001</c:v>
              </c:pt>
              <c:pt idx="33">
                <c:v>2001</c:v>
              </c:pt>
              <c:pt idx="34">
                <c:v>2002</c:v>
              </c:pt>
              <c:pt idx="35">
                <c:v>2002</c:v>
              </c:pt>
              <c:pt idx="36">
                <c:v>2003</c:v>
              </c:pt>
              <c:pt idx="37">
                <c:v>2003</c:v>
              </c:pt>
              <c:pt idx="38">
                <c:v>2004</c:v>
              </c:pt>
              <c:pt idx="39">
                <c:v>2004</c:v>
              </c:pt>
              <c:pt idx="40">
                <c:v>2005</c:v>
              </c:pt>
              <c:pt idx="41">
                <c:v>2005</c:v>
              </c:pt>
              <c:pt idx="42">
                <c:v>2006</c:v>
              </c:pt>
              <c:pt idx="43">
                <c:v>2006</c:v>
              </c:pt>
              <c:pt idx="44">
                <c:v>2007</c:v>
              </c:pt>
              <c:pt idx="45">
                <c:v>2007</c:v>
              </c:pt>
              <c:pt idx="46">
                <c:v>2008</c:v>
              </c:pt>
              <c:pt idx="47">
                <c:v>2008</c:v>
              </c:pt>
              <c:pt idx="48">
                <c:v>2009</c:v>
              </c:pt>
              <c:pt idx="49">
                <c:v>2009</c:v>
              </c:pt>
              <c:pt idx="50">
                <c:v>2010</c:v>
              </c:pt>
              <c:pt idx="51">
                <c:v>2010</c:v>
              </c:pt>
              <c:pt idx="52">
                <c:v>2011</c:v>
              </c:pt>
              <c:pt idx="53">
                <c:v>2011</c:v>
              </c:pt>
              <c:pt idx="54">
                <c:v>2012</c:v>
              </c:pt>
              <c:pt idx="55">
                <c:v>2012</c:v>
              </c:pt>
              <c:pt idx="56">
                <c:v>2013</c:v>
              </c:pt>
              <c:pt idx="57">
                <c:v>2013</c:v>
              </c:pt>
              <c:pt idx="58">
                <c:v>2014</c:v>
              </c:pt>
              <c:pt idx="59">
                <c:v>2014</c:v>
              </c:pt>
              <c:pt idx="60">
                <c:v>2015</c:v>
              </c:pt>
              <c:pt idx="61">
                <c:v>2015</c:v>
              </c:pt>
              <c:pt idx="62">
                <c:v>2016</c:v>
              </c:pt>
              <c:pt idx="63">
                <c:v>2016</c:v>
              </c:pt>
              <c:pt idx="64">
                <c:v>2017</c:v>
              </c:pt>
              <c:pt idx="65">
                <c:v>2017</c:v>
              </c:pt>
              <c:pt idx="66">
                <c:v>2018</c:v>
              </c:pt>
              <c:pt idx="67">
                <c:v>2018</c:v>
              </c:pt>
              <c:pt idx="68">
                <c:v>2019</c:v>
              </c:pt>
              <c:pt idx="69">
                <c:v>2019</c:v>
              </c:pt>
              <c:pt idx="70">
                <c:v>2020</c:v>
              </c:pt>
              <c:pt idx="71">
                <c:v>2020</c:v>
              </c:pt>
              <c:pt idx="72">
                <c:v>2021</c:v>
              </c:pt>
            </c:strLit>
          </c:cat>
          <c:val>
            <c:numLit>
              <c:formatCode>General</c:formatCode>
              <c:ptCount val="73"/>
              <c:pt idx="0">
                <c:v>39</c:v>
              </c:pt>
              <c:pt idx="1">
                <c:v>33</c:v>
              </c:pt>
              <c:pt idx="2">
                <c:v>38</c:v>
              </c:pt>
              <c:pt idx="3">
                <c:v>45</c:v>
              </c:pt>
              <c:pt idx="4">
                <c:v>44</c:v>
              </c:pt>
              <c:pt idx="5">
                <c:v>43</c:v>
              </c:pt>
              <c:pt idx="6">
                <c:v>41</c:v>
              </c:pt>
              <c:pt idx="7">
                <c:v>34</c:v>
              </c:pt>
              <c:pt idx="8">
                <c:v>57.3</c:v>
              </c:pt>
              <c:pt idx="9">
                <c:v>53.2</c:v>
              </c:pt>
              <c:pt idx="10">
                <c:v>51.5</c:v>
              </c:pt>
              <c:pt idx="11">
                <c:v>37.200000000000003</c:v>
              </c:pt>
              <c:pt idx="12">
                <c:v>23</c:v>
              </c:pt>
              <c:pt idx="13">
                <c:v>13</c:v>
              </c:pt>
              <c:pt idx="14">
                <c:v>3</c:v>
              </c:pt>
              <c:pt idx="15">
                <c:v>0</c:v>
              </c:pt>
              <c:pt idx="16">
                <c:v>4</c:v>
              </c:pt>
              <c:pt idx="17">
                <c:v>8</c:v>
              </c:pt>
              <c:pt idx="18">
                <c:v>22.5</c:v>
              </c:pt>
              <c:pt idx="19">
                <c:v>37</c:v>
              </c:pt>
              <c:pt idx="20">
                <c:v>38</c:v>
              </c:pt>
              <c:pt idx="21">
                <c:v>40</c:v>
              </c:pt>
              <c:pt idx="22">
                <c:v>42</c:v>
              </c:pt>
              <c:pt idx="23">
                <c:v>36.5</c:v>
              </c:pt>
              <c:pt idx="24">
                <c:v>31</c:v>
              </c:pt>
              <c:pt idx="25">
                <c:v>40.5</c:v>
              </c:pt>
              <c:pt idx="26">
                <c:v>50</c:v>
              </c:pt>
              <c:pt idx="27">
                <c:v>45</c:v>
              </c:pt>
              <c:pt idx="28">
                <c:v>40</c:v>
              </c:pt>
              <c:pt idx="29">
                <c:v>46.5</c:v>
              </c:pt>
              <c:pt idx="30">
                <c:v>53</c:v>
              </c:pt>
              <c:pt idx="31">
                <c:v>53</c:v>
              </c:pt>
              <c:pt idx="32">
                <c:v>50</c:v>
              </c:pt>
              <c:pt idx="33">
                <c:v>35</c:v>
              </c:pt>
              <c:pt idx="34">
                <c:v>36</c:v>
              </c:pt>
              <c:pt idx="35">
                <c:v>32</c:v>
              </c:pt>
              <c:pt idx="36">
                <c:v>29</c:v>
              </c:pt>
              <c:pt idx="37">
                <c:v>21</c:v>
              </c:pt>
              <c:pt idx="38">
                <c:v>22</c:v>
              </c:pt>
              <c:pt idx="39">
                <c:v>24</c:v>
              </c:pt>
              <c:pt idx="40">
                <c:v>32</c:v>
              </c:pt>
              <c:pt idx="41">
                <c:v>39</c:v>
              </c:pt>
              <c:pt idx="42">
                <c:v>46</c:v>
              </c:pt>
              <c:pt idx="43">
                <c:v>50</c:v>
              </c:pt>
              <c:pt idx="44">
                <c:v>56</c:v>
              </c:pt>
              <c:pt idx="45">
                <c:v>52</c:v>
              </c:pt>
              <c:pt idx="46">
                <c:v>52</c:v>
              </c:pt>
              <c:pt idx="47">
                <c:v>35</c:v>
              </c:pt>
              <c:pt idx="48">
                <c:v>15</c:v>
              </c:pt>
              <c:pt idx="49">
                <c:v>-3</c:v>
              </c:pt>
              <c:pt idx="50">
                <c:v>9</c:v>
              </c:pt>
              <c:pt idx="51">
                <c:v>32</c:v>
              </c:pt>
              <c:pt idx="52">
                <c:v>41</c:v>
              </c:pt>
              <c:pt idx="53">
                <c:v>34</c:v>
              </c:pt>
              <c:pt idx="54">
                <c:v>30</c:v>
              </c:pt>
              <c:pt idx="55">
                <c:v>20</c:v>
              </c:pt>
              <c:pt idx="56">
                <c:v>15</c:v>
              </c:pt>
              <c:pt idx="57">
                <c:v>19</c:v>
              </c:pt>
              <c:pt idx="58">
                <c:v>22.4</c:v>
              </c:pt>
              <c:pt idx="59">
                <c:v>25.799999999999997</c:v>
              </c:pt>
              <c:pt idx="60">
                <c:v>29.2</c:v>
              </c:pt>
              <c:pt idx="61">
                <c:v>31.25</c:v>
              </c:pt>
              <c:pt idx="62">
                <c:v>33.300000000000004</c:v>
              </c:pt>
              <c:pt idx="63">
                <c:v>32.400000000000006</c:v>
              </c:pt>
              <c:pt idx="64">
                <c:v>31.5</c:v>
              </c:pt>
              <c:pt idx="65">
                <c:v>30.821439046413598</c:v>
              </c:pt>
              <c:pt idx="66">
                <c:v>30.142878092827196</c:v>
              </c:pt>
              <c:pt idx="67">
                <c:v>29.581873537784798</c:v>
              </c:pt>
              <c:pt idx="68">
                <c:v>29.0208689827424</c:v>
              </c:pt>
              <c:pt idx="69">
                <c:v>28.5104344913712</c:v>
              </c:pt>
              <c:pt idx="70">
                <c:v>28</c:v>
              </c:pt>
              <c:pt idx="71">
                <c:v>13.5</c:v>
              </c:pt>
              <c:pt idx="72">
                <c:v>-1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14-C3BC-4731-B5E8-8E4D693264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2031560"/>
        <c:axId val="792031952"/>
      </c:lineChart>
      <c:catAx>
        <c:axId val="792031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/>
          <a:lstStyle/>
          <a:p>
            <a:pPr>
              <a:defRPr sz="1050" b="0">
                <a:solidFill>
                  <a:schemeClr val="tx1">
                    <a:lumMod val="65000"/>
                    <a:lumOff val="35000"/>
                  </a:schemeClr>
                </a:solidFill>
                <a:latin typeface="Museo 500" panose="02000000000000000000" pitchFamily="50" charset="0"/>
                <a:cs typeface="Arial" panose="020B0604020202020204" pitchFamily="34" charset="0"/>
              </a:defRPr>
            </a:pPr>
            <a:endParaRPr lang="sv-SE"/>
          </a:p>
        </c:txPr>
        <c:crossAx val="792031952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792031952"/>
        <c:scaling>
          <c:orientation val="minMax"/>
          <c:max val="60"/>
        </c:scaling>
        <c:delete val="0"/>
        <c:axPos val="l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  <a:latin typeface="Museo 500" panose="02000000000000000000" pitchFamily="50" charset="0"/>
                  </a:rPr>
                  <a:t>Omsättningsutveckling (nettotal)</a:t>
                </a:r>
                <a:endParaRPr lang="sv-SE" sz="1000">
                  <a:solidFill>
                    <a:schemeClr val="tx1">
                      <a:lumMod val="65000"/>
                      <a:lumOff val="35000"/>
                    </a:schemeClr>
                  </a:solidFill>
                  <a:latin typeface="Museo 500" panose="02000000000000000000" pitchFamily="50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u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500" panose="02000000000000000000" pitchFamily="50" charset="0"/>
                <a:cs typeface="Arial" panose="020B0604020202020204" pitchFamily="34" charset="0"/>
              </a:defRPr>
            </a:pPr>
            <a:endParaRPr lang="sv-SE"/>
          </a:p>
        </c:txPr>
        <c:crossAx val="79203156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sv-S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LRF Konsult">
  <a:themeElements>
    <a:clrScheme name="LRF Konsult">
      <a:dk1>
        <a:sysClr val="windowText" lastClr="000000"/>
      </a:dk1>
      <a:lt1>
        <a:sysClr val="window" lastClr="FFFFFF"/>
      </a:lt1>
      <a:dk2>
        <a:srgbClr val="003580"/>
      </a:dk2>
      <a:lt2>
        <a:srgbClr val="9B9A9A"/>
      </a:lt2>
      <a:accent1>
        <a:srgbClr val="003580"/>
      </a:accent1>
      <a:accent2>
        <a:srgbClr val="F1AB00"/>
      </a:accent2>
      <a:accent3>
        <a:srgbClr val="6F8135"/>
      </a:accent3>
      <a:accent4>
        <a:srgbClr val="00628C"/>
      </a:accent4>
      <a:accent5>
        <a:srgbClr val="A12830"/>
      </a:accent5>
      <a:accent6>
        <a:srgbClr val="9B9A9A"/>
      </a:accent6>
      <a:hlink>
        <a:srgbClr val="0000FF"/>
      </a:hlink>
      <a:folHlink>
        <a:srgbClr val="800080"/>
      </a:folHlink>
    </a:clrScheme>
    <a:fontScheme name="LRF Konsult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Företagarnas färgschema">
    <a:dk1>
      <a:sysClr val="windowText" lastClr="000000"/>
    </a:dk1>
    <a:lt1>
      <a:sysClr val="window" lastClr="FFFFFF"/>
    </a:lt1>
    <a:dk2>
      <a:srgbClr val="747678"/>
    </a:dk2>
    <a:lt2>
      <a:srgbClr val="B2B4B3"/>
    </a:lt2>
    <a:accent1>
      <a:srgbClr val="00C0A9"/>
    </a:accent1>
    <a:accent2>
      <a:srgbClr val="CB0044"/>
    </a:accent2>
    <a:accent3>
      <a:srgbClr val="FB4F14"/>
    </a:accent3>
    <a:accent4>
      <a:srgbClr val="747678"/>
    </a:accent4>
    <a:accent5>
      <a:srgbClr val="B2B4B3"/>
    </a:accent5>
    <a:accent6>
      <a:srgbClr val="00C0A9"/>
    </a:accent6>
    <a:hlink>
      <a:srgbClr val="CB0044"/>
    </a:hlink>
    <a:folHlink>
      <a:srgbClr val="00C0A9"/>
    </a:folHlink>
  </a:clrScheme>
  <a:fontScheme name="Företagarna Arial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Företagarnas färgschema">
    <a:dk1>
      <a:sysClr val="windowText" lastClr="000000"/>
    </a:dk1>
    <a:lt1>
      <a:sysClr val="window" lastClr="FFFFFF"/>
    </a:lt1>
    <a:dk2>
      <a:srgbClr val="747678"/>
    </a:dk2>
    <a:lt2>
      <a:srgbClr val="B2B4B3"/>
    </a:lt2>
    <a:accent1>
      <a:srgbClr val="00C0A9"/>
    </a:accent1>
    <a:accent2>
      <a:srgbClr val="CB0044"/>
    </a:accent2>
    <a:accent3>
      <a:srgbClr val="FB4F14"/>
    </a:accent3>
    <a:accent4>
      <a:srgbClr val="747678"/>
    </a:accent4>
    <a:accent5>
      <a:srgbClr val="B2B4B3"/>
    </a:accent5>
    <a:accent6>
      <a:srgbClr val="00C0A9"/>
    </a:accent6>
    <a:hlink>
      <a:srgbClr val="CB0044"/>
    </a:hlink>
    <a:folHlink>
      <a:srgbClr val="00C0A9"/>
    </a:folHlink>
  </a:clrScheme>
  <a:fontScheme name="Företagarna Arial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Företagarnas färgschema">
    <a:dk1>
      <a:sysClr val="windowText" lastClr="000000"/>
    </a:dk1>
    <a:lt1>
      <a:sysClr val="window" lastClr="FFFFFF"/>
    </a:lt1>
    <a:dk2>
      <a:srgbClr val="747678"/>
    </a:dk2>
    <a:lt2>
      <a:srgbClr val="B2B4B3"/>
    </a:lt2>
    <a:accent1>
      <a:srgbClr val="00C0A9"/>
    </a:accent1>
    <a:accent2>
      <a:srgbClr val="CB0044"/>
    </a:accent2>
    <a:accent3>
      <a:srgbClr val="FB4F14"/>
    </a:accent3>
    <a:accent4>
      <a:srgbClr val="747678"/>
    </a:accent4>
    <a:accent5>
      <a:srgbClr val="B2B4B3"/>
    </a:accent5>
    <a:accent6>
      <a:srgbClr val="00C0A9"/>
    </a:accent6>
    <a:hlink>
      <a:srgbClr val="CB0044"/>
    </a:hlink>
    <a:folHlink>
      <a:srgbClr val="00C0A9"/>
    </a:folHlink>
  </a:clrScheme>
  <a:fontScheme name="Företagarna Arial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F1C1-1915-4EE6-B667-4BA8A907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dokument.dotm</Template>
  <TotalTime>1</TotalTime>
  <Pages>4</Pages>
  <Words>1035</Words>
  <Characters>5489</Characters>
  <Application>Microsoft Office Word</Application>
  <DocSecurity>4</DocSecurity>
  <Lines>45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LRF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Burlage Sjöberg</dc:creator>
  <cp:lastModifiedBy>Åsa Ahlin</cp:lastModifiedBy>
  <cp:revision>2</cp:revision>
  <cp:lastPrinted>2020-03-11T10:00:00Z</cp:lastPrinted>
  <dcterms:created xsi:type="dcterms:W3CDTF">2020-04-24T06:14:00Z</dcterms:created>
  <dcterms:modified xsi:type="dcterms:W3CDTF">2020-04-24T06:14:00Z</dcterms:modified>
</cp:coreProperties>
</file>